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9"/>
          <w:szCs w:val="29"/>
          <w:b w:val="1"/>
          <w:bCs w:val="1"/>
          <w:color w:val="auto"/>
        </w:rPr>
        <w:t>UNITED STATES</w:t>
      </w:r>
    </w:p>
    <w:p>
      <w:pPr>
        <w:spacing w:after="0" w:line="61" w:lineRule="exact"/>
        <w:rPr>
          <w:sz w:val="24"/>
          <w:szCs w:val="24"/>
          <w:color w:val="auto"/>
        </w:rPr>
      </w:pPr>
    </w:p>
    <w:p>
      <w:pPr>
        <w:jc w:val="center"/>
        <w:ind w:right="-3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03" w:lineRule="exact"/>
        <w:rPr>
          <w:sz w:val="24"/>
          <w:szCs w:val="24"/>
          <w:color w:val="auto"/>
        </w:rPr>
      </w:pPr>
    </w:p>
    <w:p>
      <w:pPr>
        <w:jc w:val="center"/>
        <w:ind w:right="-319"/>
        <w:spacing w:after="0"/>
        <w:rPr>
          <w:sz w:val="20"/>
          <w:szCs w:val="20"/>
          <w:color w:val="auto"/>
        </w:rPr>
      </w:pPr>
      <w:r>
        <w:rPr>
          <w:rFonts w:ascii="Arial" w:cs="Arial" w:eastAsia="Arial" w:hAnsi="Arial"/>
          <w:sz w:val="19"/>
          <w:szCs w:val="19"/>
          <w:b w:val="1"/>
          <w:bCs w:val="1"/>
          <w:color w:val="auto"/>
        </w:rPr>
        <w:t>WASHINGTON, D.C. 20549</w:t>
      </w:r>
    </w:p>
    <w:p>
      <w:pPr>
        <w:spacing w:after="0" w:line="21" w:lineRule="exact"/>
        <w:rPr>
          <w:sz w:val="24"/>
          <w:szCs w:val="24"/>
          <w:color w:val="auto"/>
        </w:rPr>
      </w:pPr>
    </w:p>
    <w:p>
      <w:pPr>
        <w:ind w:left="3080"/>
        <w:spacing w:after="0"/>
        <w:rPr>
          <w:sz w:val="20"/>
          <w:szCs w:val="20"/>
          <w:color w:val="auto"/>
        </w:rPr>
      </w:pPr>
      <w:r>
        <w:rPr>
          <w:rFonts w:ascii="Arial" w:cs="Arial" w:eastAsia="Arial" w:hAnsi="Arial"/>
          <w:sz w:val="20"/>
          <w:szCs w:val="20"/>
          <w:color w:val="auto"/>
        </w:rPr>
        <w:t>___________________________________________</w:t>
      </w:r>
    </w:p>
    <w:p>
      <w:pPr>
        <w:spacing w:after="0" w:line="226" w:lineRule="exact"/>
        <w:rPr>
          <w:sz w:val="24"/>
          <w:szCs w:val="24"/>
          <w:color w:val="auto"/>
        </w:rPr>
      </w:pPr>
    </w:p>
    <w:p>
      <w:pPr>
        <w:jc w:val="center"/>
        <w:ind w:right="-319"/>
        <w:spacing w:after="0"/>
        <w:rPr>
          <w:sz w:val="20"/>
          <w:szCs w:val="20"/>
          <w:color w:val="auto"/>
        </w:rPr>
      </w:pPr>
      <w:r>
        <w:rPr>
          <w:rFonts w:ascii="Arial" w:cs="Arial" w:eastAsia="Arial" w:hAnsi="Arial"/>
          <w:sz w:val="29"/>
          <w:szCs w:val="29"/>
          <w:b w:val="1"/>
          <w:bCs w:val="1"/>
          <w:color w:val="auto"/>
        </w:rPr>
        <w:t>FORM SD</w:t>
      </w:r>
    </w:p>
    <w:p>
      <w:pPr>
        <w:spacing w:after="0" w:line="5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Specialized Disclosure Report</w:t>
      </w:r>
    </w:p>
    <w:p>
      <w:pPr>
        <w:spacing w:after="0" w:line="6" w:lineRule="exact"/>
        <w:rPr>
          <w:sz w:val="24"/>
          <w:szCs w:val="24"/>
          <w:color w:val="auto"/>
        </w:rPr>
      </w:pPr>
    </w:p>
    <w:p>
      <w:pPr>
        <w:ind w:left="3080"/>
        <w:spacing w:after="0"/>
        <w:rPr>
          <w:sz w:val="20"/>
          <w:szCs w:val="20"/>
          <w:color w:val="auto"/>
        </w:rPr>
      </w:pPr>
      <w:r>
        <w:rPr>
          <w:rFonts w:ascii="Arial" w:cs="Arial" w:eastAsia="Arial" w:hAnsi="Arial"/>
          <w:sz w:val="20"/>
          <w:szCs w:val="20"/>
          <w:color w:val="auto"/>
        </w:rPr>
        <w:t>___________________________________________</w:t>
      </w:r>
    </w:p>
    <w:p>
      <w:pPr>
        <w:spacing w:after="0" w:line="189" w:lineRule="exact"/>
        <w:rPr>
          <w:sz w:val="24"/>
          <w:szCs w:val="24"/>
          <w:color w:val="auto"/>
        </w:rPr>
      </w:pPr>
    </w:p>
    <w:p>
      <w:pPr>
        <w:jc w:val="center"/>
        <w:ind w:right="-319"/>
        <w:spacing w:after="0"/>
        <w:rPr>
          <w:sz w:val="20"/>
          <w:szCs w:val="20"/>
          <w:color w:val="auto"/>
        </w:rPr>
      </w:pPr>
      <w:r>
        <w:rPr>
          <w:rFonts w:ascii="Arial" w:cs="Arial" w:eastAsia="Arial" w:hAnsi="Arial"/>
          <w:sz w:val="35"/>
          <w:szCs w:val="35"/>
          <w:b w:val="1"/>
          <w:bCs w:val="1"/>
          <w:color w:val="auto"/>
        </w:rPr>
        <w:t>Cricut, Inc.</w:t>
      </w:r>
    </w:p>
    <w:p>
      <w:pPr>
        <w:spacing w:after="0" w:line="40" w:lineRule="exact"/>
        <w:rPr>
          <w:sz w:val="24"/>
          <w:szCs w:val="24"/>
          <w:color w:val="auto"/>
        </w:rPr>
      </w:pPr>
    </w:p>
    <w:p>
      <w:pPr>
        <w:jc w:val="center"/>
        <w:ind w:right="-319"/>
        <w:spacing w:after="0"/>
        <w:rPr>
          <w:sz w:val="20"/>
          <w:szCs w:val="20"/>
          <w:color w:val="auto"/>
        </w:rPr>
      </w:pPr>
      <w:r>
        <w:rPr>
          <w:rFonts w:ascii="Arial" w:cs="Arial" w:eastAsia="Arial" w:hAnsi="Arial"/>
          <w:sz w:val="13"/>
          <w:szCs w:val="13"/>
          <w:color w:val="auto"/>
        </w:rPr>
        <w:t>(Exact name of registrant as specified in its charter)</w:t>
      </w:r>
    </w:p>
    <w:p>
      <w:pPr>
        <w:spacing w:after="0" w:line="200" w:lineRule="exact"/>
        <w:rPr>
          <w:sz w:val="24"/>
          <w:szCs w:val="24"/>
          <w:color w:val="auto"/>
        </w:rPr>
      </w:pPr>
    </w:p>
    <w:p>
      <w:pPr>
        <w:spacing w:after="0" w:line="331" w:lineRule="exact"/>
        <w:rPr>
          <w:sz w:val="24"/>
          <w:szCs w:val="24"/>
          <w:color w:val="auto"/>
        </w:rPr>
      </w:pPr>
    </w:p>
    <w:tbl>
      <w:tblPr>
        <w:tblLayout w:type="fixed"/>
        <w:tblInd w:w="840" w:type="dxa"/>
        <w:tblCellMar>
          <w:top w:w="0" w:type="dxa"/>
          <w:left w:w="0" w:type="dxa"/>
          <w:bottom w:w="0" w:type="dxa"/>
          <w:right w:w="0" w:type="dxa"/>
        </w:tblCellMar>
      </w:tblPr>
      <w:tr>
        <w:trPr>
          <w:trHeight w:val="223"/>
        </w:trPr>
        <w:tc>
          <w:tcPr>
            <w:tcW w:w="3400" w:type="dxa"/>
            <w:vAlign w:val="bottom"/>
          </w:tcPr>
          <w:p>
            <w:pPr>
              <w:jc w:val="center"/>
              <w:ind w:right="288"/>
              <w:spacing w:after="0"/>
              <w:rPr>
                <w:sz w:val="20"/>
                <w:szCs w:val="20"/>
                <w:color w:val="auto"/>
              </w:rPr>
            </w:pPr>
            <w:r>
              <w:rPr>
                <w:rFonts w:ascii="Arial" w:cs="Arial" w:eastAsia="Arial" w:hAnsi="Arial"/>
                <w:sz w:val="16"/>
                <w:szCs w:val="16"/>
                <w:b w:val="1"/>
                <w:bCs w:val="1"/>
                <w:color w:val="auto"/>
              </w:rPr>
              <w:t>Delaware</w:t>
            </w:r>
          </w:p>
        </w:tc>
        <w:tc>
          <w:tcPr>
            <w:tcW w:w="2820" w:type="dxa"/>
            <w:vAlign w:val="bottom"/>
          </w:tcPr>
          <w:p>
            <w:pPr>
              <w:jc w:val="right"/>
              <w:ind w:right="990"/>
              <w:spacing w:after="0"/>
              <w:rPr>
                <w:sz w:val="20"/>
                <w:szCs w:val="20"/>
                <w:color w:val="auto"/>
              </w:rPr>
            </w:pPr>
            <w:r>
              <w:rPr>
                <w:rFonts w:ascii="Arial" w:cs="Arial" w:eastAsia="Arial" w:hAnsi="Arial"/>
                <w:sz w:val="16"/>
                <w:szCs w:val="16"/>
                <w:b w:val="1"/>
                <w:bCs w:val="1"/>
                <w:color w:val="auto"/>
              </w:rPr>
              <w:t>001-40257</w:t>
            </w:r>
          </w:p>
        </w:tc>
        <w:tc>
          <w:tcPr>
            <w:tcW w:w="2600" w:type="dxa"/>
            <w:vAlign w:val="bottom"/>
          </w:tcPr>
          <w:p>
            <w:pPr>
              <w:jc w:val="right"/>
              <w:ind w:right="450"/>
              <w:spacing w:after="0"/>
              <w:rPr>
                <w:sz w:val="20"/>
                <w:szCs w:val="20"/>
                <w:color w:val="auto"/>
              </w:rPr>
            </w:pPr>
            <w:r>
              <w:rPr>
                <w:rFonts w:ascii="Arial" w:cs="Arial" w:eastAsia="Arial" w:hAnsi="Arial"/>
                <w:sz w:val="16"/>
                <w:szCs w:val="16"/>
                <w:b w:val="1"/>
                <w:bCs w:val="1"/>
                <w:color w:val="auto"/>
              </w:rPr>
              <w:t>87-0282025</w:t>
            </w:r>
          </w:p>
        </w:tc>
      </w:tr>
      <w:tr>
        <w:trPr>
          <w:trHeight w:val="198"/>
        </w:trPr>
        <w:tc>
          <w:tcPr>
            <w:tcW w:w="3400" w:type="dxa"/>
            <w:vAlign w:val="bottom"/>
          </w:tcPr>
          <w:p>
            <w:pPr>
              <w:jc w:val="center"/>
              <w:ind w:right="308"/>
              <w:spacing w:after="0"/>
              <w:rPr>
                <w:sz w:val="20"/>
                <w:szCs w:val="20"/>
                <w:color w:val="auto"/>
              </w:rPr>
            </w:pPr>
            <w:r>
              <w:rPr>
                <w:rFonts w:ascii="Arial" w:cs="Arial" w:eastAsia="Arial" w:hAnsi="Arial"/>
                <w:sz w:val="12"/>
                <w:szCs w:val="12"/>
                <w:b w:val="1"/>
                <w:bCs w:val="1"/>
                <w:color w:val="auto"/>
                <w:w w:val="97"/>
              </w:rPr>
              <w:t>(State or other Jurisdiction of Incorporation)</w:t>
            </w:r>
          </w:p>
        </w:tc>
        <w:tc>
          <w:tcPr>
            <w:tcW w:w="2820" w:type="dxa"/>
            <w:vAlign w:val="bottom"/>
          </w:tcPr>
          <w:p>
            <w:pPr>
              <w:jc w:val="center"/>
              <w:spacing w:after="0"/>
              <w:rPr>
                <w:sz w:val="20"/>
                <w:szCs w:val="20"/>
                <w:color w:val="auto"/>
              </w:rPr>
            </w:pPr>
            <w:r>
              <w:rPr>
                <w:rFonts w:ascii="Arial" w:cs="Arial" w:eastAsia="Arial" w:hAnsi="Arial"/>
                <w:sz w:val="12"/>
                <w:szCs w:val="12"/>
                <w:b w:val="1"/>
                <w:bCs w:val="1"/>
                <w:color w:val="auto"/>
                <w:w w:val="96"/>
              </w:rPr>
              <w:t>(Commission File Number)</w:t>
            </w:r>
          </w:p>
        </w:tc>
        <w:tc>
          <w:tcPr>
            <w:tcW w:w="2600" w:type="dxa"/>
            <w:vAlign w:val="bottom"/>
          </w:tcPr>
          <w:p>
            <w:pPr>
              <w:jc w:val="center"/>
              <w:ind w:left="610"/>
              <w:spacing w:after="0"/>
              <w:rPr>
                <w:sz w:val="20"/>
                <w:szCs w:val="20"/>
                <w:color w:val="auto"/>
              </w:rPr>
            </w:pPr>
            <w:r>
              <w:rPr>
                <w:rFonts w:ascii="Arial" w:cs="Arial" w:eastAsia="Arial" w:hAnsi="Arial"/>
                <w:sz w:val="12"/>
                <w:szCs w:val="12"/>
                <w:b w:val="1"/>
                <w:bCs w:val="1"/>
                <w:color w:val="auto"/>
                <w:w w:val="97"/>
              </w:rPr>
              <w:t>(I.R.S. Employer Identification No.)</w:t>
            </w:r>
          </w:p>
        </w:tc>
      </w:tr>
      <w:tr>
        <w:trPr>
          <w:trHeight w:val="902"/>
        </w:trPr>
        <w:tc>
          <w:tcPr>
            <w:tcW w:w="3400" w:type="dxa"/>
            <w:vAlign w:val="bottom"/>
          </w:tcPr>
          <w:p>
            <w:pPr>
              <w:jc w:val="center"/>
              <w:ind w:right="768"/>
              <w:spacing w:after="0"/>
              <w:rPr>
                <w:sz w:val="20"/>
                <w:szCs w:val="20"/>
                <w:color w:val="auto"/>
              </w:rPr>
            </w:pPr>
            <w:r>
              <w:rPr>
                <w:rFonts w:ascii="Arial" w:cs="Arial" w:eastAsia="Arial" w:hAnsi="Arial"/>
                <w:sz w:val="16"/>
                <w:szCs w:val="16"/>
                <w:b w:val="1"/>
                <w:bCs w:val="1"/>
                <w:color w:val="auto"/>
              </w:rPr>
              <w:t>10855 South River Front Parkway</w:t>
            </w:r>
          </w:p>
        </w:tc>
        <w:tc>
          <w:tcPr>
            <w:tcW w:w="28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34"/>
        </w:trPr>
        <w:tc>
          <w:tcPr>
            <w:tcW w:w="3400" w:type="dxa"/>
            <w:vAlign w:val="bottom"/>
          </w:tcPr>
          <w:p>
            <w:pPr>
              <w:jc w:val="center"/>
              <w:ind w:right="788"/>
              <w:spacing w:after="0"/>
              <w:rPr>
                <w:sz w:val="20"/>
                <w:szCs w:val="20"/>
                <w:color w:val="auto"/>
              </w:rPr>
            </w:pPr>
            <w:r>
              <w:rPr>
                <w:rFonts w:ascii="Arial" w:cs="Arial" w:eastAsia="Arial" w:hAnsi="Arial"/>
                <w:sz w:val="16"/>
                <w:szCs w:val="16"/>
                <w:b w:val="1"/>
                <w:bCs w:val="1"/>
                <w:color w:val="auto"/>
              </w:rPr>
              <w:t>South Jordan, Utah</w:t>
            </w:r>
          </w:p>
        </w:tc>
        <w:tc>
          <w:tcPr>
            <w:tcW w:w="2820" w:type="dxa"/>
            <w:vAlign w:val="bottom"/>
          </w:tcPr>
          <w:p>
            <w:pPr>
              <w:spacing w:after="0"/>
              <w:rPr>
                <w:sz w:val="20"/>
                <w:szCs w:val="20"/>
                <w:color w:val="auto"/>
              </w:rPr>
            </w:pPr>
          </w:p>
        </w:tc>
        <w:tc>
          <w:tcPr>
            <w:tcW w:w="2600" w:type="dxa"/>
            <w:vAlign w:val="bottom"/>
          </w:tcPr>
          <w:p>
            <w:pPr>
              <w:jc w:val="right"/>
              <w:ind w:right="530"/>
              <w:spacing w:after="0"/>
              <w:rPr>
                <w:sz w:val="20"/>
                <w:szCs w:val="20"/>
                <w:color w:val="auto"/>
              </w:rPr>
            </w:pPr>
            <w:r>
              <w:rPr>
                <w:rFonts w:ascii="Arial" w:cs="Arial" w:eastAsia="Arial" w:hAnsi="Arial"/>
                <w:sz w:val="16"/>
                <w:szCs w:val="16"/>
                <w:b w:val="1"/>
                <w:bCs w:val="1"/>
                <w:color w:val="auto"/>
              </w:rPr>
              <w:t>84095</w:t>
            </w:r>
          </w:p>
        </w:tc>
      </w:tr>
      <w:tr>
        <w:trPr>
          <w:trHeight w:val="160"/>
        </w:trPr>
        <w:tc>
          <w:tcPr>
            <w:tcW w:w="3400" w:type="dxa"/>
            <w:vAlign w:val="bottom"/>
          </w:tcPr>
          <w:p>
            <w:pPr>
              <w:jc w:val="center"/>
              <w:ind w:right="788"/>
              <w:spacing w:after="0"/>
              <w:rPr>
                <w:sz w:val="20"/>
                <w:szCs w:val="20"/>
                <w:color w:val="auto"/>
              </w:rPr>
            </w:pPr>
            <w:r>
              <w:rPr>
                <w:rFonts w:ascii="Arial" w:cs="Arial" w:eastAsia="Arial" w:hAnsi="Arial"/>
                <w:sz w:val="12"/>
                <w:szCs w:val="12"/>
                <w:b w:val="1"/>
                <w:bCs w:val="1"/>
                <w:color w:val="auto"/>
                <w:w w:val="97"/>
              </w:rPr>
              <w:t>(Address of principal executive offices)</w:t>
            </w:r>
          </w:p>
        </w:tc>
        <w:tc>
          <w:tcPr>
            <w:tcW w:w="2820" w:type="dxa"/>
            <w:vAlign w:val="bottom"/>
          </w:tcPr>
          <w:p>
            <w:pPr>
              <w:spacing w:after="0"/>
              <w:rPr>
                <w:sz w:val="13"/>
                <w:szCs w:val="13"/>
                <w:color w:val="auto"/>
              </w:rPr>
            </w:pPr>
          </w:p>
        </w:tc>
        <w:tc>
          <w:tcPr>
            <w:tcW w:w="2600" w:type="dxa"/>
            <w:vAlign w:val="bottom"/>
          </w:tcPr>
          <w:p>
            <w:pPr>
              <w:jc w:val="center"/>
              <w:ind w:left="890"/>
              <w:spacing w:after="0"/>
              <w:rPr>
                <w:sz w:val="20"/>
                <w:szCs w:val="20"/>
                <w:color w:val="auto"/>
              </w:rPr>
            </w:pPr>
            <w:r>
              <w:rPr>
                <w:rFonts w:ascii="Arial" w:cs="Arial" w:eastAsia="Arial" w:hAnsi="Arial"/>
                <w:sz w:val="12"/>
                <w:szCs w:val="12"/>
                <w:b w:val="1"/>
                <w:bCs w:val="1"/>
                <w:color w:val="auto"/>
                <w:w w:val="97"/>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319"/>
        <w:spacing w:after="0"/>
        <w:rPr>
          <w:sz w:val="20"/>
          <w:szCs w:val="20"/>
          <w:color w:val="auto"/>
        </w:rPr>
      </w:pPr>
      <w:r>
        <w:rPr>
          <w:rFonts w:ascii="Arial" w:cs="Arial" w:eastAsia="Arial" w:hAnsi="Arial"/>
          <w:sz w:val="15"/>
          <w:szCs w:val="15"/>
          <w:b w:val="1"/>
          <w:bCs w:val="1"/>
          <w:color w:val="auto"/>
        </w:rPr>
        <w:t>Kimball Shill</w:t>
      </w:r>
    </w:p>
    <w:p>
      <w:pPr>
        <w:spacing w:after="0" w:line="3"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(385) 351-0633</w:t>
      </w:r>
    </w:p>
    <w:p>
      <w:pPr>
        <w:ind w:left="2500"/>
        <w:spacing w:after="0"/>
        <w:rPr>
          <w:sz w:val="20"/>
          <w:szCs w:val="20"/>
          <w:color w:val="auto"/>
        </w:rPr>
      </w:pPr>
      <w:r>
        <w:rPr>
          <w:rFonts w:ascii="Arial" w:cs="Arial" w:eastAsia="Arial" w:hAnsi="Arial"/>
          <w:sz w:val="12"/>
          <w:szCs w:val="12"/>
          <w:b w:val="1"/>
          <w:b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line="251" w:lineRule="auto"/>
        <w:rPr>
          <w:sz w:val="20"/>
          <w:szCs w:val="20"/>
          <w:color w:val="auto"/>
        </w:rPr>
      </w:pPr>
      <w:r>
        <w:rPr>
          <w:rFonts w:ascii="Arial" w:cs="Arial" w:eastAsia="Arial" w:hAnsi="Arial"/>
          <w:sz w:val="16"/>
          <w:szCs w:val="16"/>
          <w:color w:val="auto"/>
        </w:rPr>
        <w:t>Check the appropriate box to indicate the rule pursuant to which this Form is being submitted, and provide the period to which the information in this form applies:</w:t>
      </w:r>
    </w:p>
    <w:p>
      <w:pPr>
        <w:spacing w:after="0" w:line="268" w:lineRule="exact"/>
        <w:rPr>
          <w:sz w:val="24"/>
          <w:szCs w:val="24"/>
          <w:color w:val="auto"/>
        </w:rPr>
      </w:pPr>
    </w:p>
    <w:p>
      <w:pPr>
        <w:ind w:left="620" w:hanging="326"/>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Rule 13p-1 under the Securities Exchange Act (17 CFR 240.13p-1) for the reporting period from January 1 to December 31, 2025.</w:t>
      </w:r>
    </w:p>
    <w:p>
      <w:pPr>
        <w:spacing w:after="0" w:line="197" w:lineRule="exact"/>
        <w:rPr>
          <w:sz w:val="24"/>
          <w:szCs w:val="24"/>
          <w:color w:val="auto"/>
        </w:rPr>
      </w:pPr>
    </w:p>
    <w:p>
      <w:pPr>
        <w:ind w:left="620" w:hanging="326"/>
        <w:spacing w:after="0"/>
        <w:tabs>
          <w:tab w:leader="none" w:pos="620" w:val="left"/>
        </w:tabs>
        <w:numPr>
          <w:ilvl w:val="0"/>
          <w:numId w:val="2"/>
        </w:numPr>
        <w:rPr>
          <w:rFonts w:ascii="MS PGothic" w:cs="MS PGothic" w:eastAsia="MS PGothic" w:hAnsi="MS PGothic"/>
          <w:sz w:val="16"/>
          <w:szCs w:val="16"/>
          <w:color w:val="auto"/>
        </w:rPr>
      </w:pPr>
      <w:r>
        <w:rPr>
          <w:rFonts w:ascii="Arial" w:cs="Arial" w:eastAsia="Arial" w:hAnsi="Arial"/>
          <w:sz w:val="14"/>
          <w:szCs w:val="14"/>
          <w:color w:val="auto"/>
        </w:rPr>
        <w:t>Rule 13q-1 under the Securities Exchange Act (17 CFR 240.13q-1) for the fiscal year ended December 31, 2025.</w:t>
      </w:r>
    </w:p>
    <w:p>
      <w:pPr>
        <w:sectPr>
          <w:pgSz w:w="11900" w:h="16838" w:orient="portrait"/>
          <w:cols w:equalWidth="0" w:num="1">
            <w:col w:w="10580"/>
          </w:cols>
          <w:pgMar w:left="500" w:top="1091" w:right="8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accordance with the disclosure requirements promulgated by the U.S. Securities and Exchange Commission, Cricut, Inc. (the “Company”) has undertaken efforts to determine our conflict minerals reporting requirements for the period from January 1 to December 31, 2025.</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has filed this Specialized Disclosure Report and the associated Conflict Minerals Report, which appears as Exhibit 1.01 hereto and is publicly available on the Company’s website at https://investor.cricut.com/financial-information/sec-filings.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Conflict Minerals Report is provided as Exhibit 1.01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Resource Extraction Issuer Disclosure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Resource Extraction Issuer Disclosure and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 1.01 – </w:t>
      </w:r>
      <w:r>
        <w:rPr>
          <w:rFonts w:ascii="Arial" w:cs="Arial" w:eastAsia="Arial" w:hAnsi="Arial"/>
          <w:sz w:val="18"/>
          <w:szCs w:val="18"/>
          <w:u w:val="single" w:color="auto"/>
          <w:color w:val="0000FF"/>
        </w:rPr>
        <w:t>The Company's Conflict Minerals Report for the period January 1 to December 31, 2025.</w:t>
      </w:r>
    </w:p>
    <w:p>
      <w:pPr>
        <w:spacing w:after="0" w:line="200" w:lineRule="exact"/>
        <w:rPr>
          <w:sz w:val="20"/>
          <w:szCs w:val="20"/>
          <w:color w:val="auto"/>
        </w:rPr>
      </w:pPr>
    </w:p>
    <w:p>
      <w:pPr>
        <w:spacing w:after="0" w:line="376"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8" w:lineRule="exact"/>
        <w:rPr>
          <w:sz w:val="20"/>
          <w:szCs w:val="20"/>
          <w:color w:val="auto"/>
        </w:rPr>
      </w:pPr>
    </w:p>
    <w:tbl>
      <w:tblPr>
        <w:tblLayout w:type="fixed"/>
        <w:tblInd w:w="680" w:type="dxa"/>
        <w:tblCellMar>
          <w:top w:w="0" w:type="dxa"/>
          <w:left w:w="0" w:type="dxa"/>
          <w:bottom w:w="0" w:type="dxa"/>
          <w:right w:w="0" w:type="dxa"/>
        </w:tblCellMar>
      </w:tblPr>
      <w:tr>
        <w:trPr>
          <w:trHeight w:val="247"/>
        </w:trPr>
        <w:tc>
          <w:tcPr>
            <w:tcW w:w="5920" w:type="dxa"/>
            <w:vAlign w:val="bottom"/>
          </w:tcPr>
          <w:p>
            <w:pPr>
              <w:spacing w:after="0"/>
              <w:rPr>
                <w:sz w:val="21"/>
                <w:szCs w:val="21"/>
                <w:color w:val="auto"/>
              </w:rPr>
            </w:pPr>
          </w:p>
        </w:tc>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Cricut, Inc.</w:t>
            </w:r>
          </w:p>
        </w:tc>
      </w:tr>
      <w:tr>
        <w:trPr>
          <w:trHeight w:val="488"/>
        </w:trPr>
        <w:tc>
          <w:tcPr>
            <w:tcW w:w="5920" w:type="dxa"/>
            <w:vAlign w:val="bottom"/>
          </w:tcPr>
          <w:p>
            <w:pPr>
              <w:spacing w:after="0"/>
              <w:rPr>
                <w:sz w:val="20"/>
                <w:szCs w:val="20"/>
                <w:color w:val="auto"/>
              </w:rPr>
            </w:pPr>
            <w:r>
              <w:rPr>
                <w:rFonts w:ascii="Arial" w:cs="Arial" w:eastAsia="Arial" w:hAnsi="Arial"/>
                <w:sz w:val="18"/>
                <w:szCs w:val="18"/>
                <w:color w:val="auto"/>
              </w:rPr>
              <w:t>Date:  May 19, 2026</w:t>
            </w:r>
          </w:p>
        </w:tc>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/s/Kimball Shill</w:t>
            </w:r>
          </w:p>
        </w:tc>
      </w:tr>
      <w:tr>
        <w:trPr>
          <w:trHeight w:val="218"/>
        </w:trPr>
        <w:tc>
          <w:tcPr>
            <w:tcW w:w="59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Kimball Shill</w:t>
            </w:r>
          </w:p>
        </w:tc>
      </w:tr>
      <w:tr>
        <w:trPr>
          <w:trHeight w:val="239"/>
        </w:trPr>
        <w:tc>
          <w:tcPr>
            <w:tcW w:w="592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093"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CONFLICT MINERALS REPORT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Cricut,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THE REPORTING PERIOD FROM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1 TO DECEMBER 31, 2025</w:t>
      </w:r>
    </w:p>
    <w:p>
      <w:pPr>
        <w:spacing w:after="0" w:line="15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71" w:lineRule="exact"/>
        <w:rPr>
          <w:sz w:val="20"/>
          <w:szCs w:val="20"/>
          <w:color w:val="auto"/>
        </w:rPr>
      </w:pPr>
    </w:p>
    <w:p>
      <w:pPr>
        <w:jc w:val="both"/>
        <w:ind w:firstLine="486"/>
        <w:spacing w:after="0"/>
        <w:rPr>
          <w:sz w:val="20"/>
          <w:szCs w:val="20"/>
          <w:color w:val="auto"/>
        </w:rPr>
      </w:pPr>
      <w:r>
        <w:rPr>
          <w:rFonts w:ascii="Arial" w:cs="Arial" w:eastAsia="Arial" w:hAnsi="Arial"/>
          <w:sz w:val="18"/>
          <w:szCs w:val="18"/>
          <w:color w:val="auto"/>
        </w:rPr>
        <w:t>This is the Conflict Minerals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Report of Cricut, Inc. (“we,” “our,” “us,” “Cricut,” or the “Company”) prepared for calendar year 2025 in accordance with Rule 13p-1 (“Rule 13p-1”) under the Securities Exchange Act of 1934 (the “Act”). Numerous terms in this Report are defined in Rule 13p-1 of the Act and SEC Release No. 34-67716 (August 22, 2012) under the Act (the “Adopting Release”). The reader is referred to these sources for the definitions of defined terms contained herein.</w:t>
      </w:r>
    </w:p>
    <w:p>
      <w:pPr>
        <w:spacing w:after="0" w:line="14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8"/>
          <w:szCs w:val="18"/>
          <w:color w:val="auto"/>
        </w:rPr>
        <w:t xml:space="preserve">In accordance with Rule 13p-1, we undertook efforts to determine the presence and source of the conflict minerals within our products. The Company designed its efforts in conformity with the internationally recognized due diligence framework set forth in the </w:t>
      </w:r>
      <w:r>
        <w:rPr>
          <w:rFonts w:ascii="Arial" w:cs="Arial" w:eastAsia="Arial" w:hAnsi="Arial"/>
          <w:sz w:val="18"/>
          <w:szCs w:val="18"/>
          <w:i w:val="1"/>
          <w:iCs w:val="1"/>
          <w:color w:val="auto"/>
        </w:rPr>
        <w:t>Organisation for</w:t>
      </w:r>
      <w:r>
        <w:rPr>
          <w:rFonts w:ascii="Arial" w:cs="Arial" w:eastAsia="Arial" w:hAnsi="Arial"/>
          <w:sz w:val="18"/>
          <w:szCs w:val="18"/>
          <w:color w:val="auto"/>
        </w:rPr>
        <w:t xml:space="preserve"> </w:t>
      </w:r>
      <w:r>
        <w:rPr>
          <w:rFonts w:ascii="Arial" w:cs="Arial" w:eastAsia="Arial" w:hAnsi="Arial"/>
          <w:sz w:val="18"/>
          <w:szCs w:val="18"/>
          <w:i w:val="1"/>
          <w:iCs w:val="1"/>
          <w:color w:val="auto"/>
        </w:rPr>
        <w:t>Economic Co-operation and Development (“OECD”) Due Diligence Guidance for Responsible Supply Chains of Minerals from Conflict-Affected and High-Risk Areas</w:t>
      </w:r>
      <w:r>
        <w:rPr>
          <w:rFonts w:ascii="Arial" w:cs="Arial" w:eastAsia="Arial" w:hAnsi="Arial"/>
          <w:sz w:val="23"/>
          <w:szCs w:val="23"/>
          <w:color w:val="auto"/>
          <w:vertAlign w:val="superscript"/>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(“OECD Due Diligence Guidance”) and related Supplements.</w:t>
      </w:r>
    </w:p>
    <w:p>
      <w:pPr>
        <w:spacing w:after="0" w:line="34"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statements below are based on the activities performed to date in good faith by the Company and are based on the infrastructure and information available at the time of this filing. Factors that could affect the accuracy of these statements include, but are not limited to, incomplete supplier data or available smelter data, errors or omissions by suppliers or smelters, evolving identification of smelters, incomplete information from industry or other third-party sources, continuing guidance regarding the SEC final rules, and other issues.</w:t>
      </w:r>
    </w:p>
    <w:p>
      <w:pPr>
        <w:spacing w:after="0" w:line="122"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 Profile</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Cricut is a designer and marketer of a creativity platform that enables users to turn ideas into professional -looking handmade goods. Using the Company’s platform, versatile connected machines, accessories and materials, users create everything from personalized birthday cards, mugs and T-shirts to large-scale interior decorations. Our portfolio of connected machines cut, write, score, and create other decorative effects using a wide variety of materials including paper, adhesive vinyl, iron-on vinyl, pens, and more. On our platform, users can find inspiration, purchase or upload content like fonts and images, design a project from scratch or find a vast array of ready-to-make projects. We enable our users to be inspired, to create and share projects with the Cricut community and to follow others doing the same.</w:t>
      </w:r>
    </w:p>
    <w:p>
      <w:pPr>
        <w:spacing w:after="0" w:line="12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subject to Rule 13p-1 as we have determined that, during the reporting period from January 1 to December 31, 2025 (the "Reporting Period"), conflict minerals were likely necessary to the functionality or production of products we manufactured or contracted to manufacture. The Company, as a purchaser of finished goods and component parts, is many steps removed from the mining of conflict minerals. We do not purchase raw ore or unrefined conflict minerals and we conduct no purchasing activities directly in the DRC or adjoining countries.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Conflict Minerals Policy</w:t>
      </w:r>
    </w:p>
    <w:p>
      <w:pPr>
        <w:spacing w:after="0" w:line="158" w:lineRule="exact"/>
        <w:rPr>
          <w:sz w:val="20"/>
          <w:szCs w:val="20"/>
          <w:color w:val="auto"/>
        </w:rPr>
      </w:pPr>
    </w:p>
    <w:p>
      <w:pPr>
        <w:jc w:val="both"/>
        <w:ind w:firstLine="486"/>
        <w:spacing w:after="0" w:line="242" w:lineRule="auto"/>
        <w:rPr>
          <w:sz w:val="20"/>
          <w:szCs w:val="20"/>
          <w:color w:val="auto"/>
        </w:rPr>
      </w:pPr>
      <w:r>
        <w:rPr>
          <w:rFonts w:ascii="Arial" w:cs="Arial" w:eastAsia="Arial" w:hAnsi="Arial"/>
          <w:sz w:val="18"/>
          <w:szCs w:val="18"/>
          <w:color w:val="auto"/>
        </w:rPr>
        <w:t>The Company developed a policy statement to support the goals expressed by Congress in enacting Section 1502 of the Dodd-Frank Wall Street Reform and Consumer Protection Act. The policy highlights the Company’s commitment to complying with the reporting and due diligence obligations required by Rule 13p-1 and the Company’s expectations from its suppliers. In addition, the policy includes language encouraging suppliers to source responsibly and supports efforts to reduce violence and human rights violations in the DRC or adjoining countries. The policy can be found on our investor relations website (http://investor.cricut.com) and is reviewed and updated periodically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714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4" w:lineRule="exact"/>
        <w:rPr>
          <w:sz w:val="20"/>
          <w:szCs w:val="20"/>
          <w:color w:val="auto"/>
        </w:rPr>
      </w:pPr>
    </w:p>
    <w:p>
      <w:pPr>
        <w:jc w:val="both"/>
        <w:ind w:firstLine="8"/>
        <w:spacing w:after="0"/>
        <w:tabs>
          <w:tab w:leader="none" w:pos="11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term “conflict mineral” is defined in Section 1502(e)(4) of the Dodd-Frank Wall Street Reform and Consumer Protection Act as (A) columbite-tantalite, also known as coltan (the metal ore from which tantalum is extracted); cassiterite (the metal ore from which tin is extracted); gold; wolframite (the metal ore from which tungsten is extracted); or their derivatives; or (B) any other mineral or its derivatives determined by the Secretary of State to be financing conflict in the Democratic Republic of the Congo (“DRC”) or an adjoining country.</w:t>
      </w:r>
    </w:p>
    <w:p>
      <w:pPr>
        <w:spacing w:after="0" w:line="98" w:lineRule="exact"/>
        <w:rPr>
          <w:sz w:val="20"/>
          <w:szCs w:val="20"/>
          <w:color w:val="auto"/>
        </w:rPr>
      </w:pPr>
    </w:p>
    <w:p>
      <w:pPr>
        <w:ind w:right="20" w:firstLine="8"/>
        <w:spacing w:after="0" w:line="227" w:lineRule="auto"/>
        <w:tabs>
          <w:tab w:leader="none" w:pos="103"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OECD (2016), OECD Due Diligence Guidance for Responsible Supply Chains of Minerals from Conflict-Affected and High-Risk Areas: Third Edition, OECD Publishing, Paris. http://dx.doi.org/10.1787/9789264252479-en.</w:t>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Reasonable Country of Origin Inquiry Information</w:t>
      </w:r>
    </w:p>
    <w:p>
      <w:pPr>
        <w:spacing w:after="0" w:line="17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8"/>
          <w:szCs w:val="18"/>
          <w:color w:val="auto"/>
        </w:rPr>
        <w:t>We have conducted a good faith reasonable country of origin inquiry (“RCOI”) to determine whether the necessary conflict minerals originated in the DRC or an adjoining country or came from recycled or scrap sources.</w:t>
      </w:r>
    </w:p>
    <w:p>
      <w:pPr>
        <w:spacing w:after="0" w:line="9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RCOI process included reviewing the products manufactured or contracted to be manufactured during the Reporting Period to identify products that should be deemed in-scope as described by the Adopting Release and conducting an inquiry of our direct suppliers of the in-scope products using the Responsible Minerals Initiative’s (“RMI”) Conflict Minerals Reporting Template (“CMRT”). Based on the results of our RCOI which indicated sourcing from the DRC or an adjoining country, we exercised due diligence on the source and chain of custody of the conflict minerals in accordance with the OECD Due Diligence Guidance. Our due diligence efforts are discussed further in this Conflict Minerals Report.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Due Diligence Program Design</w:t>
      </w:r>
    </w:p>
    <w:p>
      <w:pPr>
        <w:spacing w:after="0" w:line="17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Company has implemented comprehensive due diligence measures, aligned to the requirements of the OECD Due Diligence Guidance, as applicable for tin, tantalum, tungsten, gold and as they relate to our position in the minerals supply chain as a “downstream” company. These measures include:</w:t>
      </w:r>
    </w:p>
    <w:p>
      <w:pPr>
        <w:spacing w:after="0" w:line="117" w:lineRule="exact"/>
        <w:rPr>
          <w:sz w:val="20"/>
          <w:szCs w:val="20"/>
          <w:color w:val="auto"/>
        </w:rPr>
      </w:pPr>
    </w:p>
    <w:p>
      <w:pPr>
        <w:ind w:left="960" w:hanging="304"/>
        <w:spacing w:after="0"/>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establishment of strong company management systems;</w:t>
      </w:r>
    </w:p>
    <w:p>
      <w:pPr>
        <w:spacing w:after="0" w:line="171" w:lineRule="exact"/>
        <w:rPr>
          <w:rFonts w:ascii="Arial" w:cs="Arial" w:eastAsia="Arial" w:hAnsi="Arial"/>
          <w:sz w:val="18"/>
          <w:szCs w:val="18"/>
          <w:color w:val="auto"/>
        </w:rPr>
      </w:pPr>
    </w:p>
    <w:p>
      <w:pPr>
        <w:ind w:left="960" w:hanging="304"/>
        <w:spacing w:after="0"/>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identification and assessment of risks in the supply chain;</w:t>
      </w:r>
    </w:p>
    <w:p>
      <w:pPr>
        <w:spacing w:after="0" w:line="171" w:lineRule="exact"/>
        <w:rPr>
          <w:rFonts w:ascii="Arial" w:cs="Arial" w:eastAsia="Arial" w:hAnsi="Arial"/>
          <w:sz w:val="18"/>
          <w:szCs w:val="18"/>
          <w:color w:val="auto"/>
        </w:rPr>
      </w:pPr>
    </w:p>
    <w:p>
      <w:pPr>
        <w:ind w:left="960" w:hanging="304"/>
        <w:spacing w:after="0"/>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design and implementation of a strategy to respond to identified risks;</w:t>
      </w:r>
    </w:p>
    <w:p>
      <w:pPr>
        <w:spacing w:after="0" w:line="171" w:lineRule="exact"/>
        <w:rPr>
          <w:rFonts w:ascii="Arial" w:cs="Arial" w:eastAsia="Arial" w:hAnsi="Arial"/>
          <w:sz w:val="18"/>
          <w:szCs w:val="18"/>
          <w:color w:val="auto"/>
        </w:rPr>
      </w:pPr>
    </w:p>
    <w:p>
      <w:pPr>
        <w:ind w:left="960" w:hanging="304"/>
        <w:spacing w:after="0"/>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Conducting independent third-party audits of applicable smelters due diligence practices; and</w:t>
      </w:r>
    </w:p>
    <w:p>
      <w:pPr>
        <w:spacing w:after="0" w:line="171" w:lineRule="exact"/>
        <w:rPr>
          <w:rFonts w:ascii="Arial" w:cs="Arial" w:eastAsia="Arial" w:hAnsi="Arial"/>
          <w:sz w:val="18"/>
          <w:szCs w:val="18"/>
          <w:color w:val="auto"/>
        </w:rPr>
      </w:pPr>
    </w:p>
    <w:p>
      <w:pPr>
        <w:ind w:left="960" w:hanging="304"/>
        <w:spacing w:after="0"/>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Reporting annually on supply chain due diligence.</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III. Due Diligence Measures Performed by the Company</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due diligence measures included the following activities:</w:t>
      </w:r>
    </w:p>
    <w:p>
      <w:pPr>
        <w:spacing w:after="0" w:line="171" w:lineRule="exact"/>
        <w:rPr>
          <w:sz w:val="20"/>
          <w:szCs w:val="20"/>
          <w:color w:val="auto"/>
        </w:rPr>
      </w:pPr>
    </w:p>
    <w:p>
      <w:pPr>
        <w:ind w:left="980" w:right="20" w:hanging="324"/>
        <w:spacing w:after="0" w:line="287" w:lineRule="auto"/>
        <w:tabs>
          <w:tab w:leader="none" w:pos="9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established an internal conflict minerals team that includes senior representation from our product design, engineering, sourcing, operations and legal departments.</w:t>
      </w:r>
    </w:p>
    <w:p>
      <w:pPr>
        <w:spacing w:after="0" w:line="98" w:lineRule="exact"/>
        <w:rPr>
          <w:rFonts w:ascii="Arial" w:cs="Arial" w:eastAsia="Arial" w:hAnsi="Arial"/>
          <w:sz w:val="18"/>
          <w:szCs w:val="18"/>
          <w:color w:val="auto"/>
        </w:rPr>
      </w:pPr>
    </w:p>
    <w:p>
      <w:pPr>
        <w:ind w:left="980" w:right="20" w:hanging="324"/>
        <w:spacing w:after="0" w:line="287" w:lineRule="auto"/>
        <w:tabs>
          <w:tab w:leader="none" w:pos="9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maintained a conflict minerals policy statement establishing the expectations of our suppliers. The policy can be found on our investor relations website (http://investor.cricut.com).</w:t>
      </w:r>
    </w:p>
    <w:p>
      <w:pPr>
        <w:spacing w:after="0" w:line="98" w:lineRule="exact"/>
        <w:rPr>
          <w:rFonts w:ascii="Arial" w:cs="Arial" w:eastAsia="Arial" w:hAnsi="Arial"/>
          <w:sz w:val="18"/>
          <w:szCs w:val="18"/>
          <w:color w:val="auto"/>
        </w:rPr>
      </w:pPr>
    </w:p>
    <w:p>
      <w:pPr>
        <w:ind w:left="980" w:right="20" w:hanging="324"/>
        <w:spacing w:after="0" w:line="287" w:lineRule="auto"/>
        <w:tabs>
          <w:tab w:leader="none" w:pos="9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initiated a training program to educate our employees and suppliers on our conflict minerals program, the goals of the program, and our reporting obligations.</w:t>
      </w:r>
    </w:p>
    <w:p>
      <w:pPr>
        <w:spacing w:after="0" w:line="98" w:lineRule="exact"/>
        <w:rPr>
          <w:rFonts w:ascii="Arial" w:cs="Arial" w:eastAsia="Arial" w:hAnsi="Arial"/>
          <w:sz w:val="18"/>
          <w:szCs w:val="18"/>
          <w:color w:val="auto"/>
        </w:rPr>
      </w:pPr>
    </w:p>
    <w:p>
      <w:pPr>
        <w:ind w:left="980" w:hanging="324"/>
        <w:spacing w:after="0" w:line="287" w:lineRule="auto"/>
        <w:tabs>
          <w:tab w:leader="none" w:pos="96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internal conflict minerals team conducted a detailed review of all products manufactured during the Reporting Period, identifying in scope suppliers.</w:t>
      </w:r>
    </w:p>
    <w:p>
      <w:pPr>
        <w:spacing w:after="0" w:line="98" w:lineRule="exact"/>
        <w:rPr>
          <w:rFonts w:ascii="Arial" w:cs="Arial" w:eastAsia="Arial" w:hAnsi="Arial"/>
          <w:sz w:val="18"/>
          <w:szCs w:val="18"/>
          <w:color w:val="auto"/>
        </w:rPr>
      </w:pPr>
    </w:p>
    <w:p>
      <w:pPr>
        <w:ind w:left="960" w:hanging="30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queried our in-scope Tier 1 suppliers using version 6.4 of the CMRT.</w:t>
      </w:r>
    </w:p>
    <w:p>
      <w:pPr>
        <w:spacing w:after="0" w:line="171" w:lineRule="exact"/>
        <w:rPr>
          <w:rFonts w:ascii="Arial" w:cs="Arial" w:eastAsia="Arial" w:hAnsi="Arial"/>
          <w:sz w:val="18"/>
          <w:szCs w:val="18"/>
          <w:color w:val="auto"/>
        </w:rPr>
      </w:pPr>
    </w:p>
    <w:p>
      <w:pPr>
        <w:ind w:left="980" w:hanging="324"/>
        <w:spacing w:after="0" w:line="287" w:lineRule="auto"/>
        <w:tabs>
          <w:tab w:leader="none" w:pos="9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evaluated the responses provided by our suppliers to determine our reporting obligations and, where necessary, further engaged with them to clarify their responses. A list of identified countries of origin can be found in Appendix 1.</w:t>
      </w:r>
    </w:p>
    <w:p>
      <w:pPr>
        <w:spacing w:after="0" w:line="98" w:lineRule="exact"/>
        <w:rPr>
          <w:rFonts w:ascii="Arial" w:cs="Arial" w:eastAsia="Arial" w:hAnsi="Arial"/>
          <w:sz w:val="18"/>
          <w:szCs w:val="18"/>
          <w:color w:val="auto"/>
        </w:rPr>
      </w:pPr>
    </w:p>
    <w:p>
      <w:pPr>
        <w:jc w:val="both"/>
        <w:ind w:left="980" w:hanging="324"/>
        <w:spacing w:after="0" w:line="259" w:lineRule="auto"/>
        <w:tabs>
          <w:tab w:leader="none" w:pos="968" w:val="left"/>
        </w:tabs>
        <w:numPr>
          <w:ilvl w:val="0"/>
          <w:numId w:val="8"/>
        </w:numPr>
        <w:rPr>
          <w:rFonts w:ascii="Arial" w:cs="Arial" w:eastAsia="Arial" w:hAnsi="Arial"/>
          <w:sz w:val="18"/>
          <w:szCs w:val="18"/>
          <w:color w:val="auto"/>
        </w:rPr>
      </w:pPr>
      <w:r>
        <w:rPr>
          <w:rFonts w:ascii="Arial" w:cs="Arial" w:eastAsia="Arial" w:hAnsi="Arial"/>
          <w:sz w:val="18"/>
          <w:szCs w:val="18"/>
          <w:color w:val="auto"/>
        </w:rPr>
        <w:t>Utilizing the reporting templates provided by our Tier 1 suppliers, we compiled a list of identified smelters or refiners (“SORs”) in our supply chain and matched it against the list of facilities deemed either conformant to or undergoing assessment by a responsible mineral validation program utilizing information from the RMAP Conformant Smelters &amp; Refiners list, the London Bullion Market Association (the “LBMA”) Good Delivery List, and the Responsible Jewellery Council (the “RJC”) Chain-of-Custody Certification Program.</w:t>
      </w:r>
    </w:p>
    <w:p>
      <w:pPr>
        <w:spacing w:after="0" w:line="125" w:lineRule="exact"/>
        <w:rPr>
          <w:rFonts w:ascii="Arial" w:cs="Arial" w:eastAsia="Arial" w:hAnsi="Arial"/>
          <w:sz w:val="18"/>
          <w:szCs w:val="18"/>
          <w:color w:val="auto"/>
        </w:rPr>
      </w:pPr>
    </w:p>
    <w:p>
      <w:pPr>
        <w:jc w:val="both"/>
        <w:ind w:left="980" w:hanging="324"/>
        <w:spacing w:after="0" w:line="278" w:lineRule="auto"/>
        <w:tabs>
          <w:tab w:leader="none" w:pos="9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developed a risk management plan for suppliers that present a potential conflict minerals risk and intend to request they either remove smelters who have not been audited as conformant from their supply chain or to encourage them to participate in an independent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party audit program.</w:t>
      </w:r>
    </w:p>
    <w:p>
      <w:pPr>
        <w:sectPr>
          <w:pgSz w:w="11900" w:h="16838" w:orient="portrait"/>
          <w:cols w:equalWidth="0" w:num="1">
            <w:col w:w="11240"/>
          </w:cols>
          <w:pgMar w:left="320" w:top="1093" w:right="339" w:bottom="1440" w:gutter="0" w:footer="0" w:header="0"/>
        </w:sectPr>
      </w:pPr>
    </w:p>
    <w:bookmarkStart w:id="4" w:name="page5"/>
    <w:bookmarkEnd w:id="4"/>
    <w:p>
      <w:pPr>
        <w:ind w:left="960" w:hanging="30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taken reasonable steps to verify the mine source information provided utilizing RMI resources.</w:t>
      </w:r>
    </w:p>
    <w:p>
      <w:pPr>
        <w:spacing w:after="0" w:line="171" w:lineRule="exact"/>
        <w:rPr>
          <w:rFonts w:ascii="Arial" w:cs="Arial" w:eastAsia="Arial" w:hAnsi="Arial"/>
          <w:sz w:val="18"/>
          <w:szCs w:val="18"/>
          <w:color w:val="auto"/>
        </w:rPr>
      </w:pPr>
    </w:p>
    <w:p>
      <w:pPr>
        <w:ind w:left="980" w:hanging="324"/>
        <w:spacing w:after="0" w:line="287" w:lineRule="auto"/>
        <w:tabs>
          <w:tab w:leader="none" w:pos="97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an RMI member, and support responsible mineral production and sourcing globally, including but not limited to conflict-affected and high-risk areas.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Product Description; Processing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Description</w:t>
      </w:r>
    </w:p>
    <w:p>
      <w:pPr>
        <w:spacing w:after="0" w:line="171" w:lineRule="exact"/>
        <w:rPr>
          <w:sz w:val="20"/>
          <w:szCs w:val="20"/>
          <w:color w:val="auto"/>
        </w:rPr>
      </w:pPr>
    </w:p>
    <w:p>
      <w:pPr>
        <w:jc w:val="both"/>
        <w:ind w:right="20" w:firstLine="486"/>
        <w:spacing w:after="0" w:line="287" w:lineRule="auto"/>
        <w:rPr>
          <w:sz w:val="20"/>
          <w:szCs w:val="20"/>
          <w:color w:val="auto"/>
        </w:rPr>
      </w:pPr>
      <w:r>
        <w:rPr>
          <w:rFonts w:ascii="Arial" w:cs="Arial" w:eastAsia="Arial" w:hAnsi="Arial"/>
          <w:sz w:val="18"/>
          <w:szCs w:val="18"/>
          <w:color w:val="auto"/>
        </w:rPr>
        <w:t>We operate and manage our business in two reportable segments: Platform and Products. Certain of our Products are subject to Rule 13p-1 and are described below.</w:t>
      </w:r>
    </w:p>
    <w:p>
      <w:pPr>
        <w:spacing w:after="0" w:line="9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connected machine portfolio currently includes the Cricut Joy family, the Cricut Explore family, the Cricut Maker family, and Cricut Venture. These machines cut, write, score, and create decorative effects using a wide variety of tools and materials including paper, vinyl, leather, and more. They are designed for uses ranging from quick, everyday projects like labels, decals, and greeting cards to professional-level DIY projects like personalized apparel, signage, and home décor. Our connected machines can work with a vast range of materials – from the most popular craft materials like cardstock, vinyl and iron-on to specialty materials like polished foils.</w:t>
      </w:r>
    </w:p>
    <w:p>
      <w:pPr>
        <w:spacing w:after="0" w:line="12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We sell a broad range of extensions, accessories, and materials designed to work seamlessly with our connected machines. The Cricut EasyPress line of heat presses offers carefully calibrated companions for heat-transfer vinyl projects such as personalized apparel or sublimated goods. This line of heat presses replaces traditional irons and heat transfer tools with products that deliver consistent, even, and precise control.</w:t>
      </w:r>
    </w:p>
    <w:p>
      <w:pPr>
        <w:spacing w:after="0" w:line="12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sell a wide range of project materials including adhesive vinyl, iron-on vinyl, deluxe paper, and Infusible Ink (cuttable sublimation). Machine and hand tools also support multiple forms of creativity, from fine point blades for vinyl and cardstock, to rotary blades for fabric, to knife blades for leather and softwood. Handheld tools from scissors, to weeding tools, to rulers, complete the Cricut ecosystem for a full-brand offering made for the discerning consumer. Our primary markets include the United States, Canada, United Kingdom, Ireland, Australia, New Zealand, and Western Europe. We are also present in the Middle East, Latin America, South Africa and Asia.</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Processing Facilities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Based on our due diligence process and the information received from our suppliers, the following facilities were identified by the Company’s suppliers as the smelters and refiners of the tin, tantalum, tungsten and/or gold present in and necessary to the functionality of products manufactured by the Company in the Reporting Period. The information from our suppliers is still evolving and may contain company-level declarations. As such, this smelter list is presented in good faith as the best information we have to date. For 2025, we identified 249 SORs in our supply chain. Of those, 214 SORs have been audited as conformant with the RMI’s Responsible Minerals Assurance Process (the “RMAP”), and 5 were identified as no longer in active operations. This list may contain smelters that are not in our supply chain, and/or there may be other smelters in our supply chain who we have not yet identified in our diligence process. We will continue to update the list as our information and the relevant third-party data from RMI, the LBMA, RJC, and TI-CMC improves.</w:t>
      </w:r>
    </w:p>
    <w:p>
      <w:pPr>
        <w:spacing w:after="0" w:line="237" w:lineRule="exact"/>
        <w:rPr>
          <w:sz w:val="20"/>
          <w:szCs w:val="20"/>
          <w:color w:val="auto"/>
        </w:rPr>
      </w:pPr>
    </w:p>
    <w:tbl>
      <w:tblPr>
        <w:tblLayout w:type="fixed"/>
        <w:tblInd w:w="350" w:type="dxa"/>
        <w:tblCellMar>
          <w:top w:w="0" w:type="dxa"/>
          <w:left w:w="0" w:type="dxa"/>
          <w:bottom w:w="0" w:type="dxa"/>
          <w:right w:w="0" w:type="dxa"/>
        </w:tblCellMar>
      </w:tblPr>
      <w:tr>
        <w:trPr>
          <w:trHeight w:val="215"/>
        </w:trPr>
        <w:tc>
          <w:tcPr>
            <w:tcW w:w="8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Metal</w:t>
            </w:r>
          </w:p>
        </w:tc>
        <w:tc>
          <w:tcPr>
            <w:tcW w:w="51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Smelter Name</w:t>
            </w:r>
          </w:p>
        </w:tc>
        <w:tc>
          <w:tcPr>
            <w:tcW w:w="36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Country</w:t>
            </w:r>
          </w:p>
        </w:tc>
        <w:tc>
          <w:tcPr>
            <w:tcW w:w="9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Smelter ID</w:t>
            </w: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Advanced Chemical Company</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CID000015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Aida Chemical Industries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CID000019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Agosi AG</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CID000035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Almalyk Mining and Metallurgical Complex (AMMC)</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UZBEKISTAN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CID000041</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AngloGold Ashanti Corrego do Sitio Mineracao</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CID000058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Argor-Heraeus S.A.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SWITZERLAND</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CID000077</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ASAHI METALFINE, Inc.</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CID000082</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Asaka Riken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CID000090</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Aurubis AG, Hamburg</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CID000113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Bangko Sentral ng Pilipinas (Central Bank of the Philippines)</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PHILIPPINES</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CID000128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Boliden Mineral AB (Ronnskar)</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SWEDEN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CID000157</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 Hafner GmbH + Co. KG</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CID000176</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Glencore Canada Corporation - CCR Refinery</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CANADA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CID000185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Chimet S.p.A.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ITALY</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CID000233</w:t>
            </w:r>
          </w:p>
        </w:tc>
      </w:tr>
    </w:tbl>
    <w:p>
      <w:pPr>
        <w:sectPr>
          <w:pgSz w:w="11900" w:h="16838" w:orient="portrait"/>
          <w:cols w:equalWidth="0" w:num="1">
            <w:col w:w="11240"/>
          </w:cols>
          <w:pgMar w:left="320" w:top="1093"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8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Chugai Mining</w:t>
            </w:r>
          </w:p>
        </w:tc>
        <w:tc>
          <w:tcPr>
            <w:tcW w:w="36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CID000264</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DSC (Do Sung Corporation)</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CID000359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Dowa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CID000401</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Eco-System Recycling Co., Ltd. East Plant</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CID000425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 Metal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CID000689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Heimerle + Meule GmbH</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CID000694</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Heraeus Metals Hong Kong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HONG KONG</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CID000707</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Heraeus Germany GmbH Co. KG</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CID000711</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Inner Mongolia Qiankun Gold and Silver Refinery Share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CID000801</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Ishifuku Metal Industry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CID000807</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Istanbul Gold Refinery</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TURKEY</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CID000814</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 Mint</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CID000823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Jiangxi Copper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CID000855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Asahi Refining USA Inc.</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CID000920</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Asahi Refining Canada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CANADA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CID000924</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JX Advanced Metals Corporation</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CID000937</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Kazzinc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KAZAKHSTAN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CID000957</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Kennecott Utah Copper LLC</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CID000969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Kojima Chemicals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CID000981</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LS MnM Inc.</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CID001078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Materion</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CID001113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Matsuda Sangyo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CID001119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Metalor Technologies (Suzhou)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CID001147</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Metalor Technologies (Hong Kong)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CID001149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Metalor Technologies (Singapore) Pte.,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SINGAPORE</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CID001152</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Metalor Technologies S.A.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SWITZERLAND</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CID001153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Metalor USA Refining Corporation</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CID001157</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Metalurgica Met-Mex Penoles S.A. De C.V.</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MEXICO</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CID001161</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Mitsubishi Materials Corporation</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CID001188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Mitsui Mining and Smelting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CID001193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Nadir Metal Rafineri San. Ve Tic. A.S.</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TURKEY</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CID001220</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Navoi Mining and Metallurgical Combinat</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UZBEKISTAN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CID001236</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Nihon Material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CID001259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Ohura Precious Metal Industry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CID001325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MKS PAMP SA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SWITZERLAND</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CID001352</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Aneka Tambang (Persero) Tbk</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CID001397</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PX Precinox S.A.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SWITZERLAND</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CID001498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Rand Refinery (Pty)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SOUTH AFRICA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CID001512</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Royal Canadian Mint</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CANADA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CID001534</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SEMPSA Joyeria Plateria S.A.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SPAIN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CID001585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Shandong Zhaojin Gold &amp; Silver Refinery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CID001622</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Sichuan Tianze Precious Metals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CID001736</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Solar Applied Materials Technology Corp.</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TAIWAN, PROVINCE OF 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CID001761</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Sumitomo Metal Mining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CID001798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Tanaka Kikinzoku Kogyo K.K.</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CID001875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Shandong Gold Smelting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CID001916</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Tokuriki Honten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CID001938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Torecom</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CID001955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Umicore S.A. Business Unit Precious Metals Refining</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BELGIUM</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CID001980</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Precious Metal Refining, Inc.</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CID001993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Valcambi S.A.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SWITZERLAND</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CID002003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Gold Corporation - The Perth Mint</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AUSTRALIA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CID002030</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Yamakin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CID002100</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Yokohama Metal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CID002129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Zhongyuan Gold Smelter of Zhongjin Gold Corporation</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CID002224</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Zijin Mining Group Gold Smelting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CID002243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SAFINA A.S.</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CZECHIA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CID002290</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Guangdong Jinding Gold Limited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CID002312</w:t>
            </w:r>
          </w:p>
        </w:tc>
      </w:tr>
    </w:tbl>
    <w:p>
      <w:pPr>
        <w:sectPr>
          <w:pgSz w:w="11900" w:h="16838" w:orient="portrait"/>
          <w:cols w:equalWidth="0" w:num="1">
            <w:col w:w="10580"/>
          </w:cols>
          <w:pgMar w:left="660" w:top="957" w:right="65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8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Geib Refining Corporation</w:t>
            </w:r>
          </w:p>
        </w:tc>
        <w:tc>
          <w:tcPr>
            <w:tcW w:w="36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CID002459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MMTC-PAMP India Pvt.,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CID002509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KGHM Polska Miedz Spolka Akcyjna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POLAND</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CID002511</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T.C.A S.p.A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ITALY</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CID002580</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REMONDIS PMR B.V.</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NETHERLANDS</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CID002582</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Zinc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CID002605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TOO Tau-Ken-Altyn</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KAZAKHSTAN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CID002615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Abington Reldan Metals, LLC</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CID002708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L'Orfebre S.A.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ANDORRA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CID002762</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Italpreziosi</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ITALY</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CID002765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WIELAND Edelmetalle GmbH</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CID002778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Oegussa Oesterreichische Gold- und Silber-Scheideanstalt Gesm.b.H.</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AUSTRIA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CID002779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Bangalore Refinery</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CID002863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SungEel HiMetal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CID002918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Planta Recuperadora de Metales SpA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CHILE</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CID002919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NH Recytech Company</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CID003189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Eco-System Recycling Co., Ltd. North Plant</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CID003424</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Eco-System Recycling Co., Ltd. West Plant</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CID003425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 Concentrators SA (Pty)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SOUTH AFRICA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CID003575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WEEEREFINING</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FRANCE</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CID003615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Gold by Gold Colombia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COLOMBIA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CID003641</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Coimpa Industrial LTDA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CID004010</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GG Refinery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TANZANIA, UNITED REPUBLIC OF</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CID004506</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Impala Platinum - Rustenburg Smelter</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SOUTH AFRICA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CID004610</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Impala Platinum - Platinum Metals Refinery (PMR)</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SOUTH AFRICA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CID004714</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Elite Industech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TAIWAN, PROVINCE OF 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CID004755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Changsha South Tantalum Niobium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CID000211</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Guangdong Rising Rare Metals-EO Materials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CID000291</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F&amp;X Electro-Materials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CID000460</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XIMEI RESOURCES (GUANGDONG) LIMITED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CID000616</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JiuJiang JinXin Nonferrous Metals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CID000914</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Jiujiang Tanbre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CID000917</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AMG Brasil</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CID001076</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Metallurgical Products India Pvt.,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CID001163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Mineracao Taboca S.A.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CID001175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Mitsui Kinzoku Company, Limited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CID001192</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NPM Silmet OU</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ESTONIA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CID001200</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Ningxia Orient Tantalum Industry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CID001277</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QuantumClean</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CID001508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Yanling Jincheng Tantalum &amp; Niobium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CID001522</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Taki Chemical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CID001869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Telex Metals</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CID001891</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Ulba Metallurgical Plant JSC</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KAZAKHSTAN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CID001969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Hengyang King Xing Lifeng New Materials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CID002492</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 Block Metals, LLC</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CID002504</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FIR Metals &amp; Resource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CID002505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Jiujiang Zhongao Tantalum &amp; Niobium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CID002506</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XinXing HaoRong Electronic Material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CID002508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Jiangxi Dinghai Tantalum &amp; Niobium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CID002512</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KEMET de Mexico</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MEXICO</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CID002539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TANIOBIS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THAILAND</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CID002544</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TANIOBIS GmbH</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CID002545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Materion Newton Inc.</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CID002548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TANIOBIS Japan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CID002549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TANIOBIS Smelting GmbH &amp; Co. KG</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CID002550</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Global Advanced Metals Boyertown</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CID002557</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Global Advanced Metals Aizu</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CID002558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Resind Industria e Comercio Ltda.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CID002707</w:t>
            </w:r>
          </w:p>
        </w:tc>
      </w:tr>
    </w:tbl>
    <w:p>
      <w:pPr>
        <w:sectPr>
          <w:pgSz w:w="11900" w:h="16838" w:orient="portrait"/>
          <w:cols w:equalWidth="0" w:num="1">
            <w:col w:w="10580"/>
          </w:cols>
          <w:pgMar w:left="660" w:top="956" w:right="65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8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Jiangxi Tuohong New Raw Material</w:t>
            </w:r>
          </w:p>
        </w:tc>
        <w:tc>
          <w:tcPr>
            <w:tcW w:w="36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CID002842</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RFH Yancheng Jinye New Material Technology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CID003583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PowerX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RWANDA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CID004054</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Chenzhou Yunxiang Mining and Metallurgy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CID000228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Alpha Assembly Solutions Inc</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CID000292</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Aries Kencana Sejahtera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CID000309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Premium Tin Indonesia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CID000313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Dongguan Best Alloys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CID000377</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Dowa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CID000402</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Empresa Metallurgica Vinto</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BOLIVIA (PLURINATIONAL STATE OF)</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CID000438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Estanho de Rondonia S.A.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CID000448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Feinhutte Halsbrucke GmbH</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CID000466</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Fenix Metals</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POLAND</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CID000468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Gejiu Non-Ferrous Metal Processing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CID000538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 Tin Group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CID001070</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Malaysia Smelting Corporation (MSC)</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MALAYSIA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CID001105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Metallic Resources, Inc.</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CID001142</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Mineracao Taboca S.A.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CID001173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Minsur</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PERU</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CID001182</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Mitsubishi Materials Corporation</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CID001191</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Jiangxi New Nanshan Technology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CID001231</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O.M. Manufacturing (Thailand)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THAILAND</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CID001314</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Operaciones Metalurgicas S.A.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BOLIVIA (PLURINATIONAL STATE OF)</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CID001337</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Artha Cipta Langgeng</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CID001399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Babel Inti Perkasa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CID001402</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Babel Surya Alam Lestari</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CID001406</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Bangka Tin Industry</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CID001419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Belitung Industri Sejahtera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CID001421</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Bukit Timah</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CID001428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Mitra Stania Prima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CID001453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Prima Timah Utama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CID001458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Refined Bangka Tin</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CID001460</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Sariwiguna Binasentosa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CID001463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Stanindo Inti Perkasa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CID001468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Timah Tbk Kundur</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CID001477</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Timah Tbk Mentok</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CID001482</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Timah Nusantara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CID001486</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Tinindo Inter Nusa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CID001490</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Tommy Utama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CID001493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Rui Da Hung</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TAIWAN, PROVINCE OF 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CID001539</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Soft Metais Ltda.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CID001758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Thaisarco</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THAILAND</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CID001898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White Solder Metalurgia e Mineracao Ltda.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CID002036</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Yunnan Chengfeng Non-ferrous Metals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CID002158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Tin Smelting Branch of Yunnan Tin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CID002180</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CV Venus Inti Perkasa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CID002455</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Magnu's Minerais Metais e Ligas Ltda.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CID002468</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ATD Makmur Mandiri Jaya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CID002503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O.M. Manufacturing Philippines, Inc.</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PHILIPPINES</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CID002517</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CV Ayi Jaya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CID002570</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Rajehan Ariq</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CID002593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Cipta Persada Mulia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CID002696</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Resind Industria e Comercio Ltda.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CID002706</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Super Ligas</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CID002756</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Aurubis Beerse</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BELGIUM</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CID002773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Aurubis Berango</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SPAIN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CID002774</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Bangka Prima Tin</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CID002776</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Sukses Inti Makmur (SIM)</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CID002816</w:t>
            </w:r>
          </w:p>
        </w:tc>
      </w:tr>
    </w:tbl>
    <w:p>
      <w:pPr>
        <w:sectPr>
          <w:pgSz w:w="11900" w:h="16838" w:orient="portrait"/>
          <w:cols w:equalWidth="0" w:num="1">
            <w:col w:w="10580"/>
          </w:cols>
          <w:pgMar w:left="660" w:top="956" w:right="65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8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Menara Cipta Mulia</w:t>
            </w:r>
          </w:p>
        </w:tc>
        <w:tc>
          <w:tcPr>
            <w:tcW w:w="36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CID002835</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HuiChang Hill Tin Industry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CID002844</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Guangdong Hanhe Non-ferrous Metal Limited Company</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CID003116</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Chifeng Dajingzi Tin Industry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CID003190</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Bangka Serumpun</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CID003205</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Tin Technology &amp; Refining</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CID003325</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Masbro Alam Stania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CID003380</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Rajawali Rimba Perkasa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CID003381</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Luna Smelter,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RWANDA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CID003387</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Yunnan Yunfan Non-ferrous Metals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CID003397</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Precious Minerals and Smelting Limited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CID003409</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Mitra Sukses Globalindo</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CID003449</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TRATHO Metal Quimica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CID003474</w:t>
            </w:r>
          </w:p>
        </w:tc>
        <w:tc>
          <w:tcPr>
            <w:tcW w:w="0" w:type="dxa"/>
            <w:vAlign w:val="bottom"/>
          </w:tcPr>
          <w:p>
            <w:pPr>
              <w:spacing w:after="0"/>
              <w:rPr>
                <w:sz w:val="1"/>
                <w:szCs w:val="1"/>
                <w:color w:val="auto"/>
              </w:rPr>
            </w:pPr>
          </w:p>
        </w:tc>
      </w:tr>
      <w:tr>
        <w:trPr>
          <w:trHeight w:val="150"/>
        </w:trPr>
        <w:tc>
          <w:tcPr>
            <w:tcW w:w="880" w:type="dxa"/>
            <w:vAlign w:val="bottom"/>
            <w:tcBorders>
              <w:left w:val="single" w:sz="8" w:color="auto"/>
              <w:right w:val="single" w:sz="8" w:color="auto"/>
            </w:tcBorders>
          </w:tcPr>
          <w:p>
            <w:pPr>
              <w:ind w:left="40"/>
              <w:spacing w:after="0" w:line="151" w:lineRule="exact"/>
              <w:rPr>
                <w:sz w:val="20"/>
                <w:szCs w:val="20"/>
                <w:color w:val="auto"/>
              </w:rPr>
            </w:pPr>
            <w:r>
              <w:rPr>
                <w:rFonts w:ascii="Arial" w:cs="Arial" w:eastAsia="Arial" w:hAnsi="Arial"/>
                <w:sz w:val="14"/>
                <w:szCs w:val="14"/>
                <w:color w:val="auto"/>
              </w:rPr>
              <w:t>Tin</w:t>
            </w:r>
          </w:p>
        </w:tc>
        <w:tc>
          <w:tcPr>
            <w:tcW w:w="510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CRM Fundicao De Metais E Comercio De Equipamentos Eletronicos Do Brasil</w:t>
            </w:r>
          </w:p>
        </w:tc>
        <w:tc>
          <w:tcPr>
            <w:tcW w:w="362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BRAZIL</w:t>
            </w:r>
          </w:p>
        </w:tc>
        <w:tc>
          <w:tcPr>
            <w:tcW w:w="98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CID003486</w:t>
            </w:r>
          </w:p>
        </w:tc>
        <w:tc>
          <w:tcPr>
            <w:tcW w:w="0" w:type="dxa"/>
            <w:vAlign w:val="bottom"/>
          </w:tcPr>
          <w:p>
            <w:pPr>
              <w:spacing w:after="0"/>
              <w:rPr>
                <w:sz w:val="1"/>
                <w:szCs w:val="1"/>
                <w:color w:val="auto"/>
              </w:rPr>
            </w:pPr>
          </w:p>
        </w:tc>
      </w:tr>
      <w:tr>
        <w:trPr>
          <w:trHeight w:val="185"/>
        </w:trPr>
        <w:tc>
          <w:tcPr>
            <w:tcW w:w="880" w:type="dxa"/>
            <w:vAlign w:val="bottom"/>
            <w:tcBorders>
              <w:left w:val="single" w:sz="8" w:color="auto"/>
              <w:bottom w:val="single" w:sz="8" w:color="auto"/>
              <w:right w:val="single" w:sz="8" w:color="auto"/>
            </w:tcBorders>
          </w:tcPr>
          <w:p>
            <w:pPr>
              <w:spacing w:after="0"/>
              <w:rPr>
                <w:sz w:val="16"/>
                <w:szCs w:val="16"/>
                <w:color w:val="auto"/>
              </w:rPr>
            </w:pP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Ltda</w:t>
            </w:r>
          </w:p>
        </w:tc>
        <w:tc>
          <w:tcPr>
            <w:tcW w:w="362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CRM Synergies EMEA, S.L.U.</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SPAIN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CID003524</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Fabrica Auricchio Industria e Comercio Ltda.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CID003582</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DS Myanmar</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MYANMAR</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CID003831</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Putera Sarana Shakti (PT PSS)</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CID003868</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Mining Minerals Resources SARL</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CONGO, DEMOCRATIC REPUBLIC OF THE</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CID004065</w:t>
            </w:r>
          </w:p>
        </w:tc>
        <w:tc>
          <w:tcPr>
            <w:tcW w:w="0" w:type="dxa"/>
            <w:vAlign w:val="bottom"/>
          </w:tcPr>
          <w:p>
            <w:pPr>
              <w:spacing w:after="0"/>
              <w:rPr>
                <w:sz w:val="1"/>
                <w:szCs w:val="1"/>
                <w:color w:val="auto"/>
              </w:rPr>
            </w:pPr>
          </w:p>
        </w:tc>
      </w:tr>
      <w:tr>
        <w:trPr>
          <w:trHeight w:val="150"/>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Takehara PVD Materials Plant / PVD Materials Division of MITSUI MINING &amp;</w:t>
            </w:r>
          </w:p>
        </w:tc>
        <w:tc>
          <w:tcPr>
            <w:tcW w:w="36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JAPAN</w:t>
            </w:r>
          </w:p>
        </w:tc>
        <w:tc>
          <w:tcPr>
            <w:tcW w:w="9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CID004403</w:t>
            </w:r>
          </w:p>
        </w:tc>
        <w:tc>
          <w:tcPr>
            <w:tcW w:w="0" w:type="dxa"/>
            <w:vAlign w:val="bottom"/>
          </w:tcPr>
          <w:p>
            <w:pPr>
              <w:spacing w:after="0"/>
              <w:rPr>
                <w:sz w:val="1"/>
                <w:szCs w:val="1"/>
                <w:color w:val="auto"/>
              </w:rPr>
            </w:pPr>
          </w:p>
        </w:tc>
      </w:tr>
      <w:tr>
        <w:trPr>
          <w:trHeight w:val="109"/>
        </w:trPr>
        <w:tc>
          <w:tcPr>
            <w:tcW w:w="880" w:type="dxa"/>
            <w:vAlign w:val="bottom"/>
            <w:tcBorders>
              <w:left w:val="single" w:sz="8" w:color="auto"/>
              <w:right w:val="single" w:sz="8" w:color="auto"/>
            </w:tcBorders>
            <w:vMerge w:val="continue"/>
          </w:tcPr>
          <w:p>
            <w:pPr>
              <w:spacing w:after="0"/>
              <w:rPr>
                <w:sz w:val="9"/>
                <w:szCs w:val="9"/>
                <w:color w:val="auto"/>
              </w:rPr>
            </w:pPr>
          </w:p>
        </w:tc>
        <w:tc>
          <w:tcPr>
            <w:tcW w:w="51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SMELTING CO., LTD.</w:t>
            </w:r>
          </w:p>
        </w:tc>
        <w:tc>
          <w:tcPr>
            <w:tcW w:w="362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880" w:type="dxa"/>
            <w:vAlign w:val="bottom"/>
            <w:tcBorders>
              <w:left w:val="single" w:sz="8" w:color="auto"/>
              <w:bottom w:val="single" w:sz="8" w:color="auto"/>
              <w:right w:val="single" w:sz="8" w:color="auto"/>
            </w:tcBorders>
          </w:tcPr>
          <w:p>
            <w:pPr>
              <w:spacing w:after="0"/>
              <w:rPr>
                <w:sz w:val="6"/>
                <w:szCs w:val="6"/>
                <w:color w:val="auto"/>
              </w:rPr>
            </w:pPr>
          </w:p>
        </w:tc>
        <w:tc>
          <w:tcPr>
            <w:tcW w:w="5100" w:type="dxa"/>
            <w:vAlign w:val="bottom"/>
            <w:tcBorders>
              <w:bottom w:val="single" w:sz="8" w:color="auto"/>
              <w:right w:val="single" w:sz="8" w:color="auto"/>
            </w:tcBorders>
            <w:vMerge w:val="continue"/>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Malaysia Smelting Corporation Berhad (Port Klang)</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MALAYSIA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CID004434</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Woodcross Smelting Company Limited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UGANDA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CID004724</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Global Advanced Metals Greenbushes Pty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AUSTRALIA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CID004754</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 Arsed Indonesia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CID005067</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 Kay Metal, Inc</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CID005189</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A.L.M.T. Corp.</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CID000004</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Kennametal Huntsville</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CID000105</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Guangdong Xianglu Tungsten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CID000218</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Chongyi Zhangyuan Tungsten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CID000258</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Global Tungsten &amp; Powders LLC</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CID000568</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Hunan Chenzhou Mining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CID000766</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 New Metals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CID000825</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Kennametal Fallon</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CID000966</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Wolfram Bergbau und Hutten AG</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AUSTRIA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CID002044</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Xiamen Tungsten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CID002082</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Ganzhou Jiangwu Ferrotungsten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CID002315</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Jiangxi Yaosheng Tungsten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CID002316</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Jiangxi Xinsheng Tungsten Industry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CID002317</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Jiangxi Tonggu Non-ferrous Metallurgical &amp; Chemical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CID002318</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Malipo Haiyu Tungsten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CID002319</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Xiamen Tungsten (H.C.)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CID002320</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Jiangxi Gan Bei Tungsten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CID002321</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Ganzhou Seadragon W &amp; Mo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CID002494</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Asia Tungsten Products Vietnam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VIET NAM</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CID002502</w:t>
            </w:r>
          </w:p>
        </w:tc>
        <w:tc>
          <w:tcPr>
            <w:tcW w:w="0" w:type="dxa"/>
            <w:vAlign w:val="bottom"/>
          </w:tcPr>
          <w:p>
            <w:pPr>
              <w:spacing w:after="0"/>
              <w:rPr>
                <w:sz w:val="1"/>
                <w:szCs w:val="1"/>
                <w:color w:val="auto"/>
              </w:rPr>
            </w:pPr>
          </w:p>
        </w:tc>
      </w:tr>
      <w:tr>
        <w:trPr>
          <w:trHeight w:val="150"/>
        </w:trPr>
        <w:tc>
          <w:tcPr>
            <w:tcW w:w="880" w:type="dxa"/>
            <w:vAlign w:val="bottom"/>
            <w:tcBorders>
              <w:left w:val="single" w:sz="8" w:color="auto"/>
              <w:right w:val="single" w:sz="8" w:color="auto"/>
            </w:tcBorders>
          </w:tcPr>
          <w:p>
            <w:pPr>
              <w:ind w:left="40"/>
              <w:spacing w:after="0" w:line="151" w:lineRule="exact"/>
              <w:rPr>
                <w:sz w:val="20"/>
                <w:szCs w:val="20"/>
                <w:color w:val="auto"/>
              </w:rPr>
            </w:pPr>
            <w:r>
              <w:rPr>
                <w:rFonts w:ascii="Arial" w:cs="Arial" w:eastAsia="Arial" w:hAnsi="Arial"/>
                <w:sz w:val="14"/>
                <w:szCs w:val="14"/>
                <w:color w:val="auto"/>
              </w:rPr>
              <w:t>Tungsten</w:t>
            </w:r>
          </w:p>
        </w:tc>
        <w:tc>
          <w:tcPr>
            <w:tcW w:w="510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Hunan Shizhuyuan Nonferrous Metals Co., Ltd. Chenzhou Tungsten Products</w:t>
            </w:r>
          </w:p>
        </w:tc>
        <w:tc>
          <w:tcPr>
            <w:tcW w:w="362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CHINA</w:t>
            </w:r>
          </w:p>
        </w:tc>
        <w:tc>
          <w:tcPr>
            <w:tcW w:w="98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CID002513</w:t>
            </w:r>
          </w:p>
        </w:tc>
        <w:tc>
          <w:tcPr>
            <w:tcW w:w="0" w:type="dxa"/>
            <w:vAlign w:val="bottom"/>
          </w:tcPr>
          <w:p>
            <w:pPr>
              <w:spacing w:after="0"/>
              <w:rPr>
                <w:sz w:val="1"/>
                <w:szCs w:val="1"/>
                <w:color w:val="auto"/>
              </w:rPr>
            </w:pPr>
          </w:p>
        </w:tc>
      </w:tr>
      <w:tr>
        <w:trPr>
          <w:trHeight w:val="185"/>
        </w:trPr>
        <w:tc>
          <w:tcPr>
            <w:tcW w:w="880" w:type="dxa"/>
            <w:vAlign w:val="bottom"/>
            <w:tcBorders>
              <w:left w:val="single" w:sz="8" w:color="auto"/>
              <w:bottom w:val="single" w:sz="8" w:color="auto"/>
              <w:right w:val="single" w:sz="8" w:color="auto"/>
            </w:tcBorders>
          </w:tcPr>
          <w:p>
            <w:pPr>
              <w:spacing w:after="0"/>
              <w:rPr>
                <w:sz w:val="16"/>
                <w:szCs w:val="16"/>
                <w:color w:val="auto"/>
              </w:rPr>
            </w:pP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Branch</w:t>
            </w:r>
          </w:p>
        </w:tc>
        <w:tc>
          <w:tcPr>
            <w:tcW w:w="362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H.C. Starck Tungsten GmbH</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CID002541</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TANIOBIS Smelting GmbH &amp; Co. KG</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CID002542</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Masan High-Tech Materials</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VIET NAM</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CID002543</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Jiangwu H.C. Starck Tungsten Products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CID002551</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Niagara Refining LLC</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CID002589</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 Molybdenum Tungsten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CID002641</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Ganzhou Haichuang Tungsten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CID002645</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Philippine Chuangxin Industrial Co., Inc.</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PHILIPPINES</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CID002827</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Lianyou Metals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TAIWAN, PROVINCE OF 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CID003407</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Hubei Green Tungsten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CID003417</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Cronimet Brasil Ltda</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CID003468</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Fujian Xinlu Tungsten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CID003609</w:t>
            </w:r>
          </w:p>
        </w:tc>
        <w:tc>
          <w:tcPr>
            <w:tcW w:w="0" w:type="dxa"/>
            <w:vAlign w:val="bottom"/>
          </w:tcPr>
          <w:p>
            <w:pPr>
              <w:spacing w:after="0"/>
              <w:rPr>
                <w:sz w:val="1"/>
                <w:szCs w:val="1"/>
                <w:color w:val="auto"/>
              </w:rPr>
            </w:pPr>
          </w:p>
        </w:tc>
      </w:tr>
    </w:tbl>
    <w:p>
      <w:pPr>
        <w:sectPr>
          <w:pgSz w:w="11900" w:h="16838" w:orient="portrait"/>
          <w:cols w:equalWidth="0" w:num="1">
            <w:col w:w="10580"/>
          </w:cols>
          <w:pgMar w:left="660" w:top="956" w:right="659" w:bottom="1440" w:gutter="0" w:footer="0" w:header="0"/>
        </w:sectPr>
      </w:pPr>
    </w:p>
    <w:bookmarkStart w:id="9" w:name="page10"/>
    <w:bookmarkEnd w:id="9"/>
    <w:p>
      <w:pPr>
        <w:spacing w:after="0" w:line="1" w:lineRule="exact"/>
        <w:rPr>
          <w:sz w:val="20"/>
          <w:szCs w:val="20"/>
          <w:color w:val="auto"/>
        </w:rPr>
      </w:pPr>
    </w:p>
    <w:tbl>
      <w:tblPr>
        <w:tblLayout w:type="fixed"/>
        <w:tblInd w:w="350" w:type="dxa"/>
        <w:tblCellMar>
          <w:top w:w="0" w:type="dxa"/>
          <w:left w:w="0" w:type="dxa"/>
          <w:bottom w:w="0" w:type="dxa"/>
          <w:right w:w="0" w:type="dxa"/>
        </w:tblCellMar>
      </w:tblPr>
      <w:tr>
        <w:trPr>
          <w:trHeight w:val="212"/>
        </w:trPr>
        <w:tc>
          <w:tcPr>
            <w:tcW w:w="8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Tungsten Vietnam Joint Stock Company</w:t>
            </w:r>
          </w:p>
        </w:tc>
        <w:tc>
          <w:tcPr>
            <w:tcW w:w="36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VIET NAM</w:t>
            </w:r>
          </w:p>
        </w:tc>
        <w:tc>
          <w:tcPr>
            <w:tcW w:w="9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CID003993</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Lianyou Resources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TAIWAN, PROVINCE OF 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CID004397</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Shinwon Tungsten (Fujian Shanghang) Co., Ltd.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CID004430</w:t>
            </w: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KENEE MINING VIETNAM COMPANY LIMITED</w:t>
            </w: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VIET NAM</w:t>
            </w:r>
          </w:p>
        </w:tc>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CID004619</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Future Due Diligence</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will continue to communicate our expectations and information requirements to our Tier 1 suppliers. Over time, we anticipate that the amount of information available globally on the traceability and sourcing of conflict minerals will increase and improve our knowledge. We will continue to make inquiries to our Tier 1 suppliers and undertake additional risk assessments when potentially relevant changes in facts or circumstances are identified. If a supplier does not meet our expectations regarding responsible sourcing, we will work with the supplier, including by leveraging industry-wide programs as appropriate, to build its capacity for responsible sourcing. We expect our suppliers to take similar measures with their suppliers to help ensure alignment throughout the supply chain.</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those above, the Company will undertake the following steps during the next compliance period:</w:t>
      </w:r>
    </w:p>
    <w:p>
      <w:pPr>
        <w:spacing w:after="0" w:line="17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the conflict minerals policy statement and update if necessary.</w:t>
      </w:r>
    </w:p>
    <w:p>
      <w:pPr>
        <w:spacing w:after="0" w:line="171"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supplier and employee training materials and update as necessary.</w:t>
      </w:r>
    </w:p>
    <w:p>
      <w:pPr>
        <w:spacing w:after="0" w:line="171"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collect responses from suppliers using the most recent revision of the CMRT.</w:t>
      </w:r>
    </w:p>
    <w:p>
      <w:pPr>
        <w:spacing w:after="0" w:line="171" w:lineRule="exact"/>
        <w:rPr>
          <w:rFonts w:ascii="Arial" w:cs="Arial" w:eastAsia="Arial" w:hAnsi="Arial"/>
          <w:sz w:val="18"/>
          <w:szCs w:val="18"/>
          <w:color w:val="auto"/>
        </w:rPr>
      </w:pPr>
    </w:p>
    <w:p>
      <w:pPr>
        <w:ind w:left="900" w:hanging="325"/>
        <w:spacing w:after="0" w:line="287" w:lineRule="auto"/>
        <w:tabs>
          <w:tab w:leader="none" w:pos="8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necessary, engage with suppliers that did not provide a response in 2025 or provided incomplete responses to enhance our data collection for 2026.</w:t>
      </w:r>
    </w:p>
    <w:p>
      <w:pPr>
        <w:spacing w:after="0" w:line="98"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Monitor and track performance of risk mitigation efforts.</w:t>
      </w:r>
    </w:p>
    <w:p>
      <w:pPr>
        <w:spacing w:after="0" w:line="171" w:lineRule="exact"/>
        <w:rPr>
          <w:rFonts w:ascii="Arial" w:cs="Arial" w:eastAsia="Arial" w:hAnsi="Arial"/>
          <w:sz w:val="18"/>
          <w:szCs w:val="18"/>
          <w:color w:val="auto"/>
        </w:rPr>
      </w:pPr>
    </w:p>
    <w:p>
      <w:pPr>
        <w:ind w:left="900" w:right="20" w:hanging="325"/>
        <w:spacing w:after="0" w:line="287" w:lineRule="auto"/>
        <w:tabs>
          <w:tab w:leader="none" w:pos="8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encourage our suppliers to either remove smelters that have not been audited as conformant from their supply chain or to encourage them to participate in an independent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party audit program.</w:t>
      </w:r>
    </w:p>
    <w:p>
      <w:pPr>
        <w:spacing w:after="0" w:line="30" w:lineRule="exact"/>
        <w:rPr>
          <w:rFonts w:ascii="Arial" w:cs="Arial" w:eastAsia="Arial" w:hAnsi="Arial"/>
          <w:sz w:val="18"/>
          <w:szCs w:val="18"/>
          <w:color w:val="auto"/>
        </w:rPr>
      </w:pPr>
    </w:p>
    <w:p>
      <w:pPr>
        <w:ind w:left="900" w:right="20" w:hanging="325"/>
        <w:spacing w:after="0" w:line="287" w:lineRule="auto"/>
        <w:tabs>
          <w:tab w:leader="none" w:pos="8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Compare and validate RCOI results against information collected via independent third-party audit programs, such as the RMI, and through our Company’s own coordinated outreach to our Tier 1 suppliers.</w:t>
      </w:r>
    </w:p>
    <w:p>
      <w:pPr>
        <w:spacing w:after="0" w:line="98" w:lineRule="exact"/>
        <w:rPr>
          <w:rFonts w:ascii="Arial" w:cs="Arial" w:eastAsia="Arial" w:hAnsi="Arial"/>
          <w:sz w:val="18"/>
          <w:szCs w:val="18"/>
          <w:color w:val="auto"/>
        </w:rPr>
      </w:pPr>
    </w:p>
    <w:p>
      <w:pPr>
        <w:ind w:left="900" w:hanging="325"/>
        <w:spacing w:after="0" w:line="287" w:lineRule="auto"/>
        <w:tabs>
          <w:tab w:leader="none" w:pos="8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support responsible mineral production and sourcing globally, including but not limited to conflict-affected and high-risk areas.</w:t>
      </w:r>
    </w:p>
    <w:p>
      <w:pPr>
        <w:spacing w:after="0" w:line="98" w:lineRule="exact"/>
        <w:rPr>
          <w:rFonts w:ascii="Arial" w:cs="Arial" w:eastAsia="Arial" w:hAnsi="Arial"/>
          <w:sz w:val="18"/>
          <w:szCs w:val="18"/>
          <w:color w:val="auto"/>
        </w:rPr>
      </w:pPr>
    </w:p>
    <w:p>
      <w:pPr>
        <w:ind w:left="900" w:hanging="325"/>
        <w:spacing w:after="0" w:line="287" w:lineRule="auto"/>
        <w:tabs>
          <w:tab w:leader="none" w:pos="8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monitor global developments and the emergence of additional requirements and/or standards related to the sourcing of minerals or other materials from the DRC and adjoining countries or other regions.</w:t>
      </w:r>
    </w:p>
    <w:p>
      <w:pPr>
        <w:spacing w:after="0" w:line="98" w:lineRule="exact"/>
        <w:rPr>
          <w:rFonts w:ascii="Arial" w:cs="Arial" w:eastAsia="Arial" w:hAnsi="Arial"/>
          <w:sz w:val="18"/>
          <w:szCs w:val="18"/>
          <w:color w:val="auto"/>
        </w:rPr>
      </w:pPr>
    </w:p>
    <w:p>
      <w:pPr>
        <w:ind w:left="900" w:hanging="325"/>
        <w:spacing w:after="0" w:line="287" w:lineRule="auto"/>
        <w:tabs>
          <w:tab w:leader="none" w:pos="8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Continually improve our conflict minerals program and update our due diligence measures based on emerging risks, regulatory changes, and feedback from stakeholders.</w:t>
      </w:r>
    </w:p>
    <w:p>
      <w:pPr>
        <w:sectPr>
          <w:pgSz w:w="11900" w:h="16838" w:orient="portrait"/>
          <w:cols w:equalWidth="0" w:num="1">
            <w:col w:w="11240"/>
          </w:cols>
          <w:pgMar w:left="320" w:top="956" w:right="339" w:bottom="1440" w:gutter="0" w:footer="0" w:header="0"/>
        </w:sectPr>
      </w:pPr>
    </w:p>
    <w:bookmarkStart w:id="10" w:name="page11"/>
    <w:bookmarkEnd w:id="10"/>
    <w:p>
      <w:pPr>
        <w:ind w:left="3700"/>
        <w:spacing w:after="0"/>
        <w:rPr>
          <w:sz w:val="20"/>
          <w:szCs w:val="20"/>
          <w:color w:val="auto"/>
        </w:rPr>
      </w:pPr>
      <w:r>
        <w:rPr>
          <w:rFonts w:ascii="Arial" w:cs="Arial" w:eastAsia="Arial" w:hAnsi="Arial"/>
          <w:sz w:val="18"/>
          <w:szCs w:val="18"/>
          <w:b w:val="1"/>
          <w:bCs w:val="1"/>
          <w:color w:val="auto"/>
        </w:rPr>
        <w:t>APPENDIX I – Countries of Origin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this Appendix is based on the information collected from the Company’s suppliers.</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33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Albania</w:t>
            </w:r>
          </w:p>
        </w:tc>
        <w:tc>
          <w:tcPr>
            <w:tcW w:w="31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31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Norway</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Algeria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Ghana</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Oman</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Andorra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Greece</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Panama</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Angola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Greenland</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Papua New Guinea</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Anguilla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Grenada</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Peru</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Antigua and Barbuda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Guatemala</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Philippines</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Argentina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Guernsey</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Poland</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Aruba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Guinea</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Portugal</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Australia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Guyana</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Puerto Rico</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Austria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Honduras</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Romania</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Azerbaijan</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Hong Kong</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Russia</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Bahamas</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Hungary</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Rwanda</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Bangladesh</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Iceland</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Saint Kitts and Nevis</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Barbados</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India</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Saint Lucia</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Belarus</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Saint Vincent and the Grenadines</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Belgium</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San Marino</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Benin</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Israel</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Saudi Arabia</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Bolivia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Italy</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Senegal</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Bosnia and Herzegovina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Jamaica</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Serbia</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Sierra Leone</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Bulgaria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Jordan</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Singapore</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Burkina Faso</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Kazakhstan</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Sint Maarten</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Burundi</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Slovakia</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Cameroon</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Kyrgyzstan</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Slovenia</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Canada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Lao People's Democratic Republic</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South Africa</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Cayman Islands</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Latvia</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Spain</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Chile</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Lebanon</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Sri Lanka</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Liberia</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Suriname</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Chinese Taipei</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Liechtenstein</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Sweden</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Colombia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Lithuania</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Switzerland</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Congo, Democratic Republic of the</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Luxembourg</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Tajikistan</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Costa Rica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Macao</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Tanzania</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Côte d'Ivoire</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Madagascar</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Thailand</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Croatia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Malaysia</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Trinidad and Tobago</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Curaçao</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Mali</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Tunisia</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Cyprus</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Malta</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Turkey</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Czechia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Mexico</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Uganda</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Denmark</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Monaco</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Ukraine</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Dominica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Mongolia</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Arab Emirates</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Dominican Republic</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Morocco</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Kingdom</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Ecuador</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Mozambique</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States of America</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Egypt</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Myanmar</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Uruguay</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El Salvador</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Namibia</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Uzbekistan</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Estonia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Netherlands</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Venezuela</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Ethiopia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New Zealand</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Vietnam</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Finland</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Nicaragua</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Zambia</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France</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Niger</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Zimbabwe</w:t>
            </w: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French Guiana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Nigeria</w:t>
            </w:r>
          </w:p>
        </w:tc>
        <w:tc>
          <w:tcPr>
            <w:tcW w:w="3160" w:type="dxa"/>
            <w:vAlign w:val="bottom"/>
          </w:tcPr>
          <w:p>
            <w:pPr>
              <w:spacing w:after="0"/>
              <w:rPr>
                <w:sz w:val="17"/>
                <w:szCs w:val="17"/>
                <w:color w:val="auto"/>
              </w:rPr>
            </w:pPr>
          </w:p>
        </w:tc>
      </w:tr>
      <w:tr>
        <w:trPr>
          <w:trHeight w:val="196"/>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Georgia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North Macedonia</w:t>
            </w:r>
          </w:p>
        </w:tc>
        <w:tc>
          <w:tcPr>
            <w:tcW w:w="316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9640"/>
      </w:cols>
      <w:pgMar w:left="820" w:top="1093"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upperLetter"/>
      <w:start w:val="9"/>
    </w:lvl>
  </w:abstractNum>
  <w:abstractNum w:abstractNumId="3">
    <w:nsid w:val="41B71EFB"/>
    <w:multiLevelType w:val="hybridMultilevel"/>
    <w:lvl w:ilvl="0">
      <w:lvlJc w:val="left"/>
      <w:lvlText w:val="%1."/>
      <w:numFmt w:val="upperLetter"/>
      <w:start w:val="35"/>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1"/>
      <w:numFmt w:val="upperLetter"/>
      <w:start w:val="1"/>
    </w:lvl>
    <w:lvl w:ilvl="1">
      <w:lvlJc w:val="left"/>
      <w:lvlText w:val="%2."/>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9"/>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2026-05-20T05:12:25Z</dcterms:created>
  <dcterms:modified xsi:type="dcterms:W3CDTF">2026-05-20T05:12:25Z</dcterms:modified>
</cp:coreProperties>
</file>