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8473780.xml.htm"/>
      <w:bookmarkStart w:id="1" w:name="kswkform4_1788473780"/>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Ashish Arora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CRICUT,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10855 SOUTH RIVER FRONT PARKWAY</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SOUTH JORDAN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UT</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84095</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Cricut, Inc.</w:t>
              </w:r>
            </w:hyperlink>
            <w:r>
              <w:rPr/>
              <w:t xml:space="preserve"> [ </w:t>
            </w:r>
            <w:r>
              <w:rPr>
                <w:rFonts w:ascii="Times;serif" w:hAnsi="Times;serif"/>
                <w:color w:val="0000FF"/>
                <w:sz w:val="24"/>
                <w:shd w:fill="FFFFFF" w:val="clear"/>
              </w:rPr>
              <w:t>CRCT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Executive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09/02/2026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33"/>
        <w:gridCol w:w="903"/>
        <w:gridCol w:w="773"/>
        <w:gridCol w:w="599"/>
        <w:gridCol w:w="343"/>
        <w:gridCol w:w="962"/>
        <w:gridCol w:w="440"/>
        <w:gridCol w:w="792"/>
        <w:gridCol w:w="1262"/>
        <w:gridCol w:w="981"/>
        <w:gridCol w:w="91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3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9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6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1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3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6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1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3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09/02/2026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5.794</w:t>
            </w:r>
            <w:r>
              <w:rPr>
                <w:rFonts w:ascii="Times;serif" w:hAnsi="Times;serif"/>
                <w:color w:val="008000"/>
                <w:position w:val="7"/>
                <w:sz w:val="16"/>
                <w:sz w:val="20"/>
                <w:shd w:fill="FFFFFF" w:val="clear"/>
              </w:rPr>
              <w:t>(2)</w:t>
            </w:r>
          </w:p>
        </w:tc>
        <w:tc>
          <w:tcPr>
            <w:tcW w:w="126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5,717,105</w:t>
            </w:r>
          </w:p>
        </w:tc>
        <w:tc>
          <w:tcPr>
            <w:tcW w:w="9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3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09/03/2026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60,000</w:t>
            </w:r>
            <w:r>
              <w:rPr>
                <w:rFonts w:ascii="Times;serif" w:hAnsi="Times;serif"/>
                <w:color w:val="008000"/>
                <w:position w:val="7"/>
                <w:sz w:val="16"/>
                <w:sz w:val="20"/>
                <w:shd w:fill="FFFFFF" w:val="clear"/>
              </w:rPr>
              <w:t>(1)</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9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5.849</w:t>
            </w:r>
            <w:r>
              <w:rPr>
                <w:rFonts w:ascii="Times;serif" w:hAnsi="Times;serif"/>
                <w:color w:val="008000"/>
                <w:position w:val="7"/>
                <w:sz w:val="16"/>
                <w:sz w:val="20"/>
                <w:shd w:fill="FFFFFF" w:val="clear"/>
              </w:rPr>
              <w:t>(3)</w:t>
            </w:r>
          </w:p>
        </w:tc>
        <w:tc>
          <w:tcPr>
            <w:tcW w:w="126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5,657,105</w:t>
            </w:r>
          </w:p>
        </w:tc>
        <w:tc>
          <w:tcPr>
            <w:tcW w:w="9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 reported in this Form 4 was effected pursuant to a Rule 10b5-1 trading plan adopted by the reporting person on August 20,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price reported in column 4 is a weighted average price. These shares were sold in multiple transactions at prices ranging from $5.7050 to $5.9750,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$5.7800 to $5.9200, inclusive. The reporting person undertakes to provide to Cricut Inc., any security holder of Cricut Inc., or the staff of the Securities and Exchange Commission, upon request, full information regarding the number of shares sold at each separate price within the range set forth in this footnote.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Lauren Curtin,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09/03/2026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851564" TargetMode="External"/><Relationship Id="rId5" Type="http://schemas.openxmlformats.org/officeDocument/2006/relationships/hyperlink" Target="http://www.sec.gov/cgi-bin/browse-edgar?action=getcompany&amp;CIK=00018289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755</Words>
  <Characters>4038</Characters>
  <CharactersWithSpaces>4714</CharactersWithSpaces>
  <Paragraphs>109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